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A9FD" w14:textId="39A032D8" w:rsidR="00072DEC" w:rsidRPr="00241EE9" w:rsidRDefault="00072DEC" w:rsidP="00914798">
      <w:pPr>
        <w:jc w:val="center"/>
        <w:rPr>
          <w:rFonts w:cstheme="minorHAnsi"/>
          <w:b/>
          <w:bCs/>
        </w:rPr>
      </w:pPr>
      <w:r w:rsidRPr="00241EE9">
        <w:rPr>
          <w:rFonts w:cstheme="minorHAnsi"/>
          <w:b/>
          <w:bCs/>
        </w:rPr>
        <w:t xml:space="preserve">Suitability to Interact </w:t>
      </w:r>
      <w:proofErr w:type="gramStart"/>
      <w:r w:rsidRPr="00241EE9">
        <w:rPr>
          <w:rFonts w:cstheme="minorHAnsi"/>
          <w:b/>
          <w:bCs/>
        </w:rPr>
        <w:t>With</w:t>
      </w:r>
      <w:proofErr w:type="gramEnd"/>
      <w:r w:rsidRPr="00241EE9">
        <w:rPr>
          <w:rFonts w:cstheme="minorHAnsi"/>
          <w:b/>
          <w:bCs/>
        </w:rPr>
        <w:t xml:space="preserve"> Minors Procedures</w:t>
      </w:r>
    </w:p>
    <w:p w14:paraId="6CB3E72E" w14:textId="79C5D4BE" w:rsidR="00050E09" w:rsidRPr="00241EE9" w:rsidRDefault="00C84842" w:rsidP="00D35298">
      <w:pPr>
        <w:rPr>
          <w:rFonts w:cstheme="minorHAnsi"/>
        </w:rPr>
      </w:pPr>
      <w:r w:rsidRPr="00241EE9">
        <w:rPr>
          <w:rFonts w:cstheme="minorHAnsi"/>
        </w:rPr>
        <w:t xml:space="preserve">The Office of Justice Programs requires awardees and </w:t>
      </w:r>
      <w:proofErr w:type="spellStart"/>
      <w:r w:rsidRPr="00241EE9">
        <w:rPr>
          <w:rFonts w:cstheme="minorHAnsi"/>
        </w:rPr>
        <w:t>subawardees</w:t>
      </w:r>
      <w:proofErr w:type="spellEnd"/>
      <w:r w:rsidRPr="00241EE9">
        <w:rPr>
          <w:rFonts w:cstheme="minorHAnsi"/>
        </w:rPr>
        <w:t xml:space="preserve"> of grants </w:t>
      </w:r>
      <w:r w:rsidR="00B31C97" w:rsidRPr="00B31C97">
        <w:rPr>
          <w:rFonts w:cstheme="minorHAnsi"/>
        </w:rPr>
        <w:t>(both referred to as “grant” within th</w:t>
      </w:r>
      <w:r w:rsidR="00B31C97">
        <w:rPr>
          <w:rFonts w:cstheme="minorHAnsi"/>
        </w:rPr>
        <w:t>ese procedures</w:t>
      </w:r>
      <w:r w:rsidR="00B31C97" w:rsidRPr="00B31C97">
        <w:rPr>
          <w:rFonts w:cstheme="minorHAnsi"/>
        </w:rPr>
        <w:t xml:space="preserve">) </w:t>
      </w:r>
      <w:r w:rsidRPr="00241EE9">
        <w:rPr>
          <w:rFonts w:cstheme="minorHAnsi"/>
        </w:rPr>
        <w:t xml:space="preserve">from the Department of Justice Office of Victims of Crime and Office on Violence Against Women to </w:t>
      </w:r>
      <w:r w:rsidR="001277BF" w:rsidRPr="00241EE9">
        <w:rPr>
          <w:rFonts w:cstheme="minorHAnsi"/>
        </w:rPr>
        <w:t xml:space="preserve">make determinations of suitability before covered individuals may interact with participating minors. </w:t>
      </w:r>
    </w:p>
    <w:p w14:paraId="2AE5AE26" w14:textId="43A898C3" w:rsidR="00050E09" w:rsidRPr="00241EE9" w:rsidRDefault="00550803" w:rsidP="00050E09">
      <w:pPr>
        <w:rPr>
          <w:rFonts w:cstheme="minorHAnsi"/>
        </w:rPr>
      </w:pPr>
      <w:r w:rsidRPr="00241EE9">
        <w:rPr>
          <w:rFonts w:cstheme="minorHAnsi"/>
        </w:rPr>
        <w:t>To</w:t>
      </w:r>
      <w:r w:rsidR="00050E09" w:rsidRPr="00241EE9">
        <w:rPr>
          <w:rFonts w:cstheme="minorHAnsi"/>
        </w:rPr>
        <w:t xml:space="preserve"> comply with this award requirement and the </w:t>
      </w:r>
      <w:r w:rsidR="002A7DD7" w:rsidRPr="00241EE9">
        <w:rPr>
          <w:rFonts w:cstheme="minorHAnsi"/>
        </w:rPr>
        <w:t>S</w:t>
      </w:r>
      <w:r w:rsidR="00050E09" w:rsidRPr="00241EE9">
        <w:rPr>
          <w:rFonts w:cstheme="minorHAnsi"/>
        </w:rPr>
        <w:t xml:space="preserve">uitability to Interact with Minors </w:t>
      </w:r>
      <w:r w:rsidR="00355224" w:rsidRPr="00241EE9">
        <w:rPr>
          <w:rFonts w:cstheme="minorHAnsi"/>
        </w:rPr>
        <w:t>p</w:t>
      </w:r>
      <w:r w:rsidR="00050E09" w:rsidRPr="00241EE9">
        <w:rPr>
          <w:rFonts w:cstheme="minorHAnsi"/>
        </w:rPr>
        <w:t xml:space="preserve">olicy, the University of Iowa will follow the procedures below.  </w:t>
      </w:r>
    </w:p>
    <w:p w14:paraId="143067A6" w14:textId="2A306799" w:rsidR="00130144" w:rsidRPr="00241EE9" w:rsidRDefault="00130144" w:rsidP="00D35298">
      <w:pPr>
        <w:rPr>
          <w:rFonts w:cstheme="minorHAnsi"/>
        </w:rPr>
      </w:pPr>
      <w:r w:rsidRPr="00241EE9">
        <w:rPr>
          <w:rFonts w:cstheme="minorHAnsi"/>
        </w:rPr>
        <w:t xml:space="preserve">The Division of Sponsored Programs </w:t>
      </w:r>
      <w:r w:rsidR="005A2D0C" w:rsidRPr="00241EE9">
        <w:rPr>
          <w:rFonts w:cstheme="minorHAnsi"/>
        </w:rPr>
        <w:t xml:space="preserve">(DSP) </w:t>
      </w:r>
      <w:r w:rsidRPr="00241EE9">
        <w:rPr>
          <w:rFonts w:cstheme="minorHAnsi"/>
        </w:rPr>
        <w:t>will inform the Pr</w:t>
      </w:r>
      <w:r w:rsidR="00FC35B0" w:rsidRPr="00241EE9">
        <w:rPr>
          <w:rFonts w:cstheme="minorHAnsi"/>
        </w:rPr>
        <w:t>incipal Investigator (PI) on the grant of the award condition</w:t>
      </w:r>
      <w:r w:rsidR="00A351AB" w:rsidRPr="00241EE9">
        <w:rPr>
          <w:rFonts w:cstheme="minorHAnsi"/>
        </w:rPr>
        <w:t xml:space="preserve"> and </w:t>
      </w:r>
      <w:r w:rsidR="000142BA" w:rsidRPr="000142BA">
        <w:rPr>
          <w:rFonts w:cstheme="minorHAnsi"/>
        </w:rPr>
        <w:t>confirm the applicability of the grant requirement with the PI via email</w:t>
      </w:r>
      <w:r w:rsidR="003D318B">
        <w:rPr>
          <w:rFonts w:cstheme="minorHAnsi"/>
        </w:rPr>
        <w:t xml:space="preserve">. </w:t>
      </w:r>
      <w:r w:rsidR="005C641A" w:rsidRPr="00241EE9">
        <w:rPr>
          <w:rFonts w:cstheme="minorHAnsi"/>
        </w:rPr>
        <w:t xml:space="preserve"> The PI </w:t>
      </w:r>
      <w:r w:rsidR="003D318B">
        <w:rPr>
          <w:rFonts w:cstheme="minorHAnsi"/>
        </w:rPr>
        <w:t xml:space="preserve">provide DSP with requested information to allow DSP and the PI to </w:t>
      </w:r>
      <w:r w:rsidR="005A2D0C" w:rsidRPr="00241EE9">
        <w:rPr>
          <w:rFonts w:cstheme="minorHAnsi"/>
        </w:rPr>
        <w:t xml:space="preserve">determine </w:t>
      </w:r>
      <w:r w:rsidR="00850E58" w:rsidRPr="00241EE9">
        <w:rPr>
          <w:rFonts w:cstheme="minorHAnsi"/>
        </w:rPr>
        <w:t xml:space="preserve">the applicability of the </w:t>
      </w:r>
      <w:r w:rsidR="005A2D0C" w:rsidRPr="00241EE9">
        <w:rPr>
          <w:rFonts w:cstheme="minorHAnsi"/>
        </w:rPr>
        <w:t xml:space="preserve">suitability to interact with </w:t>
      </w:r>
      <w:proofErr w:type="gramStart"/>
      <w:r w:rsidR="005A2D0C" w:rsidRPr="00241EE9">
        <w:rPr>
          <w:rFonts w:cstheme="minorHAnsi"/>
        </w:rPr>
        <w:t>minors</w:t>
      </w:r>
      <w:proofErr w:type="gramEnd"/>
      <w:r w:rsidR="005A2D0C" w:rsidRPr="00241EE9">
        <w:rPr>
          <w:rFonts w:cstheme="minorHAnsi"/>
        </w:rPr>
        <w:t xml:space="preserve"> requirement</w:t>
      </w:r>
      <w:r w:rsidR="00850E58" w:rsidRPr="00241EE9">
        <w:rPr>
          <w:rFonts w:cstheme="minorHAnsi"/>
        </w:rPr>
        <w:t xml:space="preserve">. </w:t>
      </w:r>
      <w:r w:rsidR="005A2D0C" w:rsidRPr="00241EE9">
        <w:rPr>
          <w:rFonts w:cstheme="minorHAnsi"/>
        </w:rPr>
        <w:t xml:space="preserve">  </w:t>
      </w:r>
      <w:r w:rsidRPr="00241EE9">
        <w:rPr>
          <w:rFonts w:cstheme="minorHAnsi"/>
        </w:rPr>
        <w:t xml:space="preserve"> </w:t>
      </w:r>
    </w:p>
    <w:p w14:paraId="4E6E9518" w14:textId="776AFC2D" w:rsidR="00655E50" w:rsidRPr="00241EE9" w:rsidRDefault="009144ED" w:rsidP="00D35298">
      <w:pPr>
        <w:rPr>
          <w:rFonts w:cstheme="minorHAnsi"/>
        </w:rPr>
      </w:pPr>
      <w:r w:rsidRPr="00241EE9">
        <w:rPr>
          <w:rFonts w:cstheme="minorHAnsi"/>
        </w:rPr>
        <w:t>Upon written determination</w:t>
      </w:r>
      <w:r w:rsidR="0020425E" w:rsidRPr="00241EE9">
        <w:rPr>
          <w:rFonts w:cstheme="minorHAnsi"/>
        </w:rPr>
        <w:t xml:space="preserve"> </w:t>
      </w:r>
      <w:r w:rsidRPr="00241EE9">
        <w:rPr>
          <w:rFonts w:cstheme="minorHAnsi"/>
        </w:rPr>
        <w:t xml:space="preserve">that </w:t>
      </w:r>
      <w:r w:rsidR="00655E50" w:rsidRPr="00241EE9">
        <w:rPr>
          <w:rFonts w:cstheme="minorHAnsi"/>
        </w:rPr>
        <w:t xml:space="preserve">the </w:t>
      </w:r>
      <w:r w:rsidRPr="00241EE9">
        <w:rPr>
          <w:rFonts w:cstheme="minorHAnsi"/>
        </w:rPr>
        <w:t xml:space="preserve">suitability to interact with minors </w:t>
      </w:r>
      <w:r w:rsidR="00655E50" w:rsidRPr="00241EE9">
        <w:rPr>
          <w:rFonts w:cstheme="minorHAnsi"/>
        </w:rPr>
        <w:t>grant requirement appl</w:t>
      </w:r>
      <w:r w:rsidRPr="00241EE9">
        <w:rPr>
          <w:rFonts w:cstheme="minorHAnsi"/>
        </w:rPr>
        <w:t>ies</w:t>
      </w:r>
      <w:r w:rsidR="00655E50" w:rsidRPr="00241EE9">
        <w:rPr>
          <w:rFonts w:cstheme="minorHAnsi"/>
        </w:rPr>
        <w:t xml:space="preserve"> to </w:t>
      </w:r>
      <w:r w:rsidR="006D47E7" w:rsidRPr="00241EE9">
        <w:rPr>
          <w:rFonts w:cstheme="minorHAnsi"/>
        </w:rPr>
        <w:t>individuals</w:t>
      </w:r>
      <w:r w:rsidR="00655E50" w:rsidRPr="00241EE9">
        <w:rPr>
          <w:rFonts w:cstheme="minorHAnsi"/>
        </w:rPr>
        <w:t xml:space="preserve"> conducting activities in connection with </w:t>
      </w:r>
      <w:r w:rsidRPr="00241EE9">
        <w:rPr>
          <w:rFonts w:cstheme="minorHAnsi"/>
        </w:rPr>
        <w:t>a</w:t>
      </w:r>
      <w:r w:rsidR="00655E50" w:rsidRPr="00241EE9">
        <w:rPr>
          <w:rFonts w:cstheme="minorHAnsi"/>
        </w:rPr>
        <w:t xml:space="preserve"> grant, </w:t>
      </w:r>
      <w:r w:rsidRPr="00241EE9">
        <w:rPr>
          <w:rFonts w:cstheme="minorHAnsi"/>
        </w:rPr>
        <w:t xml:space="preserve">DSP will notify the </w:t>
      </w:r>
      <w:r w:rsidR="0003374D" w:rsidRPr="00241EE9">
        <w:rPr>
          <w:rFonts w:cstheme="minorHAnsi"/>
        </w:rPr>
        <w:t xml:space="preserve">Senior HR Director </w:t>
      </w:r>
      <w:r w:rsidR="00355224" w:rsidRPr="00241EE9">
        <w:rPr>
          <w:rFonts w:cstheme="minorHAnsi"/>
        </w:rPr>
        <w:t xml:space="preserve">in </w:t>
      </w:r>
      <w:r w:rsidRPr="00241EE9">
        <w:rPr>
          <w:rFonts w:cstheme="minorHAnsi"/>
        </w:rPr>
        <w:t xml:space="preserve">the Department associated with the grant. </w:t>
      </w:r>
      <w:r w:rsidR="00850E58" w:rsidRPr="00241EE9">
        <w:rPr>
          <w:rFonts w:cstheme="minorHAnsi"/>
        </w:rPr>
        <w:t xml:space="preserve">It is the responsibility of the PI to inform the Senior HR </w:t>
      </w:r>
      <w:r w:rsidR="003D2272" w:rsidRPr="00241EE9">
        <w:rPr>
          <w:rFonts w:cstheme="minorHAnsi"/>
        </w:rPr>
        <w:t>D</w:t>
      </w:r>
      <w:r w:rsidR="00850E58" w:rsidRPr="00241EE9">
        <w:rPr>
          <w:rFonts w:cstheme="minorHAnsi"/>
        </w:rPr>
        <w:t xml:space="preserve">irector of the names of the employees and volunteers </w:t>
      </w:r>
      <w:r w:rsidR="003D2272" w:rsidRPr="00241EE9">
        <w:rPr>
          <w:rFonts w:cstheme="minorHAnsi"/>
        </w:rPr>
        <w:t xml:space="preserve">who frequently interact with minors. </w:t>
      </w:r>
      <w:r w:rsidRPr="00241EE9">
        <w:rPr>
          <w:rFonts w:cstheme="minorHAnsi"/>
        </w:rPr>
        <w:t xml:space="preserve">The Senior HR Director </w:t>
      </w:r>
      <w:r w:rsidR="005E6171" w:rsidRPr="00241EE9">
        <w:rPr>
          <w:rFonts w:cstheme="minorHAnsi"/>
        </w:rPr>
        <w:t xml:space="preserve">or designee </w:t>
      </w:r>
      <w:r w:rsidR="00355224" w:rsidRPr="00241EE9">
        <w:rPr>
          <w:rFonts w:cstheme="minorHAnsi"/>
        </w:rPr>
        <w:t xml:space="preserve">will </w:t>
      </w:r>
      <w:r w:rsidR="00DD0CCB" w:rsidRPr="00241EE9">
        <w:rPr>
          <w:rFonts w:cstheme="minorHAnsi"/>
        </w:rPr>
        <w:t xml:space="preserve">then </w:t>
      </w:r>
      <w:r w:rsidR="00EE43A7" w:rsidRPr="00241EE9">
        <w:rPr>
          <w:rFonts w:cstheme="minorHAnsi"/>
        </w:rPr>
        <w:t>conduct the appropriate checks and make a written determination of suitability</w:t>
      </w:r>
      <w:r w:rsidR="0080044F" w:rsidRPr="00241EE9">
        <w:rPr>
          <w:rFonts w:cstheme="minorHAnsi"/>
        </w:rPr>
        <w:t xml:space="preserve"> in accordance with the Policy and these procedures</w:t>
      </w:r>
      <w:r w:rsidR="00EE43A7" w:rsidRPr="00241EE9">
        <w:rPr>
          <w:rFonts w:cstheme="minorHAnsi"/>
        </w:rPr>
        <w:t xml:space="preserve">.  </w:t>
      </w:r>
    </w:p>
    <w:p w14:paraId="014B6E6D" w14:textId="359A0579" w:rsidR="0035062A" w:rsidRPr="00241EE9" w:rsidRDefault="0035062A" w:rsidP="00BC1110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41EE9">
        <w:rPr>
          <w:rFonts w:cstheme="minorHAnsi"/>
          <w:b/>
          <w:bCs/>
        </w:rPr>
        <w:t xml:space="preserve">Notice of Suitability Screenings </w:t>
      </w:r>
      <w:r w:rsidR="009B11D3" w:rsidRPr="00241EE9">
        <w:rPr>
          <w:rFonts w:cstheme="minorHAnsi"/>
          <w:b/>
          <w:bCs/>
        </w:rPr>
        <w:t xml:space="preserve">and Determinations </w:t>
      </w:r>
    </w:p>
    <w:p w14:paraId="536A2DB7" w14:textId="38732865" w:rsidR="005D5CBA" w:rsidRPr="00241EE9" w:rsidRDefault="0035062A" w:rsidP="0035062A">
      <w:pPr>
        <w:rPr>
          <w:rFonts w:cstheme="minorHAnsi"/>
        </w:rPr>
      </w:pPr>
      <w:r w:rsidRPr="00241EE9">
        <w:rPr>
          <w:rFonts w:cstheme="minorHAnsi"/>
        </w:rPr>
        <w:t xml:space="preserve">All </w:t>
      </w:r>
      <w:r w:rsidR="00672229" w:rsidRPr="00241EE9">
        <w:rPr>
          <w:rFonts w:cstheme="minorHAnsi"/>
        </w:rPr>
        <w:t>individuals</w:t>
      </w:r>
      <w:r w:rsidRPr="00241EE9">
        <w:rPr>
          <w:rFonts w:cstheme="minorHAnsi"/>
        </w:rPr>
        <w:t xml:space="preserve"> who</w:t>
      </w:r>
      <w:r w:rsidR="00604DEC" w:rsidRPr="00241EE9">
        <w:rPr>
          <w:rFonts w:cstheme="minorHAnsi"/>
        </w:rPr>
        <w:t xml:space="preserve"> are</w:t>
      </w:r>
      <w:r w:rsidR="00684747" w:rsidRPr="00241EE9">
        <w:rPr>
          <w:rFonts w:cstheme="minorHAnsi"/>
        </w:rPr>
        <w:t xml:space="preserve"> subject to the suitability to interact with minors grant requirement will be informed </w:t>
      </w:r>
      <w:r w:rsidR="00D4745E" w:rsidRPr="00241EE9">
        <w:rPr>
          <w:rFonts w:cstheme="minorHAnsi"/>
        </w:rPr>
        <w:t xml:space="preserve">that determinations of suitability must be made by the University of Iowa prior to </w:t>
      </w:r>
      <w:r w:rsidR="00604DEC" w:rsidRPr="00241EE9">
        <w:rPr>
          <w:rFonts w:cstheme="minorHAnsi"/>
        </w:rPr>
        <w:t>the individual interacting with participating minors.</w:t>
      </w:r>
      <w:r w:rsidR="00DD4BB4" w:rsidRPr="00241EE9">
        <w:rPr>
          <w:rFonts w:cstheme="minorHAnsi"/>
        </w:rPr>
        <w:t xml:space="preserve"> Individuals will be</w:t>
      </w:r>
      <w:r w:rsidR="00F315AC" w:rsidRPr="00241EE9">
        <w:rPr>
          <w:rFonts w:cstheme="minorHAnsi"/>
        </w:rPr>
        <w:t xml:space="preserve"> provided notice of the </w:t>
      </w:r>
      <w:r w:rsidR="001577C2" w:rsidRPr="00241EE9">
        <w:rPr>
          <w:rFonts w:cstheme="minorHAnsi"/>
        </w:rPr>
        <w:t>public website searches and</w:t>
      </w:r>
      <w:r w:rsidR="00DD4BB4" w:rsidRPr="00241EE9">
        <w:rPr>
          <w:rFonts w:cstheme="minorHAnsi"/>
        </w:rPr>
        <w:t xml:space="preserve"> </w:t>
      </w:r>
      <w:r w:rsidR="001577C2" w:rsidRPr="00241EE9">
        <w:rPr>
          <w:rFonts w:cstheme="minorHAnsi"/>
        </w:rPr>
        <w:t xml:space="preserve">will be asked to provide information regarding the states where they have lived, worked, and attended school, as well as any former names. Individuals will be </w:t>
      </w:r>
      <w:r w:rsidR="00DD4BB4" w:rsidRPr="00241EE9">
        <w:rPr>
          <w:rFonts w:cstheme="minorHAnsi"/>
        </w:rPr>
        <w:t xml:space="preserve">asked to </w:t>
      </w:r>
      <w:r w:rsidR="001577C2" w:rsidRPr="00241EE9">
        <w:rPr>
          <w:rFonts w:cstheme="minorHAnsi"/>
        </w:rPr>
        <w:t xml:space="preserve">provide </w:t>
      </w:r>
      <w:r w:rsidR="00DD4BB4" w:rsidRPr="00241EE9">
        <w:rPr>
          <w:rFonts w:cstheme="minorHAnsi"/>
        </w:rPr>
        <w:t xml:space="preserve">consent to the required </w:t>
      </w:r>
      <w:r w:rsidR="001577C2" w:rsidRPr="00241EE9">
        <w:rPr>
          <w:rFonts w:cstheme="minorHAnsi"/>
        </w:rPr>
        <w:t xml:space="preserve">fingerprint searches.  </w:t>
      </w:r>
      <w:r w:rsidR="00DD4BB4" w:rsidRPr="00241EE9">
        <w:rPr>
          <w:rFonts w:cstheme="minorHAnsi"/>
        </w:rPr>
        <w:t xml:space="preserve">  </w:t>
      </w:r>
    </w:p>
    <w:p w14:paraId="540B7734" w14:textId="794315BB" w:rsidR="00AC46DF" w:rsidRPr="00241EE9" w:rsidRDefault="005D5CBA" w:rsidP="0035062A">
      <w:pPr>
        <w:rPr>
          <w:rFonts w:cstheme="minorHAnsi"/>
        </w:rPr>
      </w:pPr>
      <w:r w:rsidRPr="00241EE9">
        <w:rPr>
          <w:rFonts w:cstheme="minorHAnsi"/>
        </w:rPr>
        <w:t>The Senior HR Director or designee shall notify</w:t>
      </w:r>
      <w:r w:rsidR="00AC46DF" w:rsidRPr="00241EE9">
        <w:rPr>
          <w:rFonts w:cstheme="minorHAnsi"/>
        </w:rPr>
        <w:t xml:space="preserve"> </w:t>
      </w:r>
      <w:r w:rsidR="006D47E7" w:rsidRPr="00241EE9">
        <w:rPr>
          <w:rFonts w:cstheme="minorHAnsi"/>
        </w:rPr>
        <w:t>University HR</w:t>
      </w:r>
      <w:r w:rsidR="00AC46DF" w:rsidRPr="00241EE9">
        <w:rPr>
          <w:rFonts w:cstheme="minorHAnsi"/>
        </w:rPr>
        <w:t xml:space="preserve"> and the Office of General Counsel if any volunteer or staff member refuses to provide consent to the suitability screenings.  </w:t>
      </w:r>
    </w:p>
    <w:p w14:paraId="2DDACEB5" w14:textId="079DB620" w:rsidR="0035062A" w:rsidRPr="00241EE9" w:rsidRDefault="00AC46DF" w:rsidP="0035062A">
      <w:pPr>
        <w:rPr>
          <w:rFonts w:cstheme="minorHAnsi"/>
        </w:rPr>
      </w:pPr>
      <w:r w:rsidRPr="00241EE9">
        <w:rPr>
          <w:rFonts w:cstheme="minorHAnsi"/>
        </w:rPr>
        <w:t>The Senior HR Director o</w:t>
      </w:r>
      <w:r w:rsidR="00131EBF" w:rsidRPr="00241EE9">
        <w:rPr>
          <w:rFonts w:cstheme="minorHAnsi"/>
        </w:rPr>
        <w:t>r</w:t>
      </w:r>
      <w:r w:rsidRPr="00241EE9">
        <w:rPr>
          <w:rFonts w:cstheme="minorHAnsi"/>
        </w:rPr>
        <w:t xml:space="preserve"> designee shall notify the Office of the </w:t>
      </w:r>
      <w:r w:rsidR="00131EBF" w:rsidRPr="00241EE9">
        <w:rPr>
          <w:rFonts w:cstheme="minorHAnsi"/>
        </w:rPr>
        <w:t xml:space="preserve">Executive Vice President and </w:t>
      </w:r>
      <w:r w:rsidRPr="00241EE9">
        <w:rPr>
          <w:rFonts w:cstheme="minorHAnsi"/>
        </w:rPr>
        <w:t xml:space="preserve">Provost and the Office of General Counsel if any faculty member refuses to provide consent to the suitability screenings.    </w:t>
      </w:r>
      <w:r w:rsidR="00604DEC" w:rsidRPr="00241EE9">
        <w:rPr>
          <w:rFonts w:cstheme="minorHAnsi"/>
        </w:rPr>
        <w:t xml:space="preserve"> </w:t>
      </w:r>
    </w:p>
    <w:p w14:paraId="07C6C43A" w14:textId="1A45C2B6" w:rsidR="00932397" w:rsidRPr="00241EE9" w:rsidRDefault="00932397" w:rsidP="00BC1110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41EE9">
        <w:rPr>
          <w:rFonts w:cstheme="minorHAnsi"/>
          <w:b/>
          <w:bCs/>
        </w:rPr>
        <w:t>Suitability Screenings</w:t>
      </w:r>
    </w:p>
    <w:p w14:paraId="5E274C92" w14:textId="65D3E54D" w:rsidR="00932397" w:rsidRPr="00241EE9" w:rsidRDefault="00932397" w:rsidP="00932397">
      <w:pPr>
        <w:rPr>
          <w:rFonts w:cstheme="minorHAnsi"/>
        </w:rPr>
      </w:pPr>
      <w:r w:rsidRPr="00241EE9">
        <w:rPr>
          <w:rFonts w:cstheme="minorHAnsi"/>
        </w:rPr>
        <w:t xml:space="preserve">The Senior HR Director or designee in the Department associated with the grant will conduct the screenings necessary to make a suitability determination.  This screening must include:  </w:t>
      </w:r>
    </w:p>
    <w:p w14:paraId="24B155E8" w14:textId="494BB59C" w:rsidR="00932397" w:rsidRPr="00241EE9" w:rsidRDefault="00932397" w:rsidP="00B54DE1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A name search of the </w:t>
      </w:r>
      <w:r w:rsidR="000A689C" w:rsidRPr="00241EE9">
        <w:rPr>
          <w:rFonts w:cstheme="minorHAnsi"/>
        </w:rPr>
        <w:t xml:space="preserve">public </w:t>
      </w:r>
      <w:r w:rsidRPr="00241EE9">
        <w:rPr>
          <w:rFonts w:cstheme="minorHAnsi"/>
        </w:rPr>
        <w:t>state sex offender</w:t>
      </w:r>
      <w:r w:rsidR="00BC0411" w:rsidRPr="00241EE9">
        <w:rPr>
          <w:rFonts w:cstheme="minorHAnsi"/>
        </w:rPr>
        <w:t xml:space="preserve"> websites and registries </w:t>
      </w:r>
      <w:r w:rsidRPr="00241EE9">
        <w:rPr>
          <w:rFonts w:cstheme="minorHAnsi"/>
        </w:rPr>
        <w:t xml:space="preserve"> </w:t>
      </w:r>
    </w:p>
    <w:p w14:paraId="12F7B7B1" w14:textId="5782312D" w:rsidR="00711E7D" w:rsidRPr="00241EE9" w:rsidRDefault="00711E7D" w:rsidP="00B54DE1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search must include the covered individual’s </w:t>
      </w:r>
      <w:r w:rsidR="00B54DE1" w:rsidRPr="00241EE9">
        <w:rPr>
          <w:rFonts w:cstheme="minorHAnsi"/>
        </w:rPr>
        <w:t>current name, and, if applicabl</w:t>
      </w:r>
      <w:r w:rsidR="00131EBF" w:rsidRPr="00241EE9">
        <w:rPr>
          <w:rFonts w:cstheme="minorHAnsi"/>
        </w:rPr>
        <w:t>e, any</w:t>
      </w:r>
      <w:r w:rsidR="00B54DE1" w:rsidRPr="00241EE9">
        <w:rPr>
          <w:rFonts w:cstheme="minorHAnsi"/>
        </w:rPr>
        <w:t xml:space="preserve"> previous name(s) or aliases</w:t>
      </w:r>
      <w:r w:rsidR="00131EBF" w:rsidRPr="00241EE9">
        <w:rPr>
          <w:rFonts w:cstheme="minorHAnsi"/>
        </w:rPr>
        <w:t>.</w:t>
      </w:r>
    </w:p>
    <w:p w14:paraId="2EFDFBC9" w14:textId="377BEA30" w:rsidR="00B54DE1" w:rsidRPr="00241EE9" w:rsidRDefault="007D1950" w:rsidP="00B54DE1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search must include </w:t>
      </w:r>
      <w:r w:rsidR="004939E5" w:rsidRPr="00241EE9">
        <w:rPr>
          <w:rFonts w:cstheme="minorHAnsi"/>
        </w:rPr>
        <w:t>the public</w:t>
      </w:r>
      <w:r w:rsidRPr="00241EE9">
        <w:rPr>
          <w:rFonts w:cstheme="minorHAnsi"/>
        </w:rPr>
        <w:t xml:space="preserve"> </w:t>
      </w:r>
      <w:r w:rsidR="00E11F2C" w:rsidRPr="00241EE9">
        <w:rPr>
          <w:rFonts w:cstheme="minorHAnsi"/>
        </w:rPr>
        <w:t xml:space="preserve">sex offender </w:t>
      </w:r>
      <w:r w:rsidR="00F96464" w:rsidRPr="00241EE9">
        <w:rPr>
          <w:rFonts w:cstheme="minorHAnsi"/>
        </w:rPr>
        <w:t xml:space="preserve">websites and registries for every state in which the individual has lived, worked, </w:t>
      </w:r>
      <w:r w:rsidR="00AF540E" w:rsidRPr="00241EE9">
        <w:rPr>
          <w:rFonts w:cstheme="minorHAnsi"/>
        </w:rPr>
        <w:t xml:space="preserve">or gone to school at </w:t>
      </w:r>
      <w:r w:rsidR="00550803" w:rsidRPr="00241EE9">
        <w:rPr>
          <w:rFonts w:cstheme="minorHAnsi"/>
        </w:rPr>
        <w:t>any time</w:t>
      </w:r>
      <w:r w:rsidR="00AF540E" w:rsidRPr="00241EE9">
        <w:rPr>
          <w:rFonts w:cstheme="minorHAnsi"/>
        </w:rPr>
        <w:t xml:space="preserve"> during the previous five years</w:t>
      </w:r>
      <w:r w:rsidRPr="00241EE9">
        <w:rPr>
          <w:rFonts w:cstheme="minorHAnsi"/>
        </w:rPr>
        <w:t>.</w:t>
      </w:r>
    </w:p>
    <w:p w14:paraId="70E85C0E" w14:textId="77777777" w:rsidR="00A04D2A" w:rsidRPr="00241EE9" w:rsidRDefault="004939E5" w:rsidP="00932397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lastRenderedPageBreak/>
        <w:t xml:space="preserve">The search must include the public sex offender websites and registries for every state in which the covered individual is expected or reasonably likely to interact with </w:t>
      </w:r>
      <w:r w:rsidR="00A04D2A" w:rsidRPr="00241EE9">
        <w:rPr>
          <w:rFonts w:cstheme="minorHAnsi"/>
        </w:rPr>
        <w:t xml:space="preserve">participating minors </w:t>
      </w:r>
      <w:proofErr w:type="gramStart"/>
      <w:r w:rsidR="00A04D2A" w:rsidRPr="00241EE9">
        <w:rPr>
          <w:rFonts w:cstheme="minorHAnsi"/>
        </w:rPr>
        <w:t>in the course of</w:t>
      </w:r>
      <w:proofErr w:type="gramEnd"/>
      <w:r w:rsidR="00A04D2A" w:rsidRPr="00241EE9">
        <w:rPr>
          <w:rFonts w:cstheme="minorHAnsi"/>
        </w:rPr>
        <w:t xml:space="preserve"> activities under the award. </w:t>
      </w:r>
    </w:p>
    <w:p w14:paraId="2542E49F" w14:textId="23128F68" w:rsidR="00682573" w:rsidRPr="00241EE9" w:rsidRDefault="00682573" w:rsidP="00932397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Senior HR Director will use HireRight </w:t>
      </w:r>
      <w:r w:rsidR="00E74C6E" w:rsidRPr="00241EE9">
        <w:rPr>
          <w:rFonts w:cstheme="minorHAnsi"/>
        </w:rPr>
        <w:t xml:space="preserve">to search all states where the individual has </w:t>
      </w:r>
      <w:proofErr w:type="gramStart"/>
      <w:r w:rsidR="00E74C6E" w:rsidRPr="00241EE9">
        <w:rPr>
          <w:rFonts w:cstheme="minorHAnsi"/>
        </w:rPr>
        <w:t>lived, and</w:t>
      </w:r>
      <w:proofErr w:type="gramEnd"/>
      <w:r w:rsidR="00E74C6E" w:rsidRPr="00241EE9">
        <w:rPr>
          <w:rFonts w:cstheme="minorHAnsi"/>
        </w:rPr>
        <w:t xml:space="preserve"> will conduct a manual search of any additional state where the individual has worked or attended school. </w:t>
      </w:r>
    </w:p>
    <w:p w14:paraId="70555A49" w14:textId="77777777" w:rsidR="00A04D2A" w:rsidRPr="00241EE9" w:rsidRDefault="00A04D2A" w:rsidP="00A04D2A">
      <w:pPr>
        <w:pStyle w:val="ListParagraph"/>
        <w:ind w:left="1440"/>
        <w:rPr>
          <w:rFonts w:cstheme="minorHAnsi"/>
        </w:rPr>
      </w:pPr>
    </w:p>
    <w:p w14:paraId="4054696A" w14:textId="095B3EC0" w:rsidR="00564D65" w:rsidRPr="00241EE9" w:rsidRDefault="00932397" w:rsidP="00564D65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A name search of the Dru </w:t>
      </w:r>
      <w:proofErr w:type="spellStart"/>
      <w:r w:rsidRPr="00241EE9">
        <w:rPr>
          <w:rFonts w:cstheme="minorHAnsi"/>
        </w:rPr>
        <w:t>Sjodin</w:t>
      </w:r>
      <w:proofErr w:type="spellEnd"/>
      <w:r w:rsidRPr="00241EE9">
        <w:rPr>
          <w:rFonts w:cstheme="minorHAnsi"/>
        </w:rPr>
        <w:t xml:space="preserve"> National Sex Offender Public Website (www.nsopw.gov) </w:t>
      </w:r>
    </w:p>
    <w:p w14:paraId="4F4AA179" w14:textId="6441A518" w:rsidR="004072AE" w:rsidRPr="00241EE9" w:rsidRDefault="00A04D2A" w:rsidP="00932397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>The search must include the covered individual’s current name, and, if applicabl</w:t>
      </w:r>
      <w:r w:rsidR="00131EBF" w:rsidRPr="00241EE9">
        <w:rPr>
          <w:rFonts w:cstheme="minorHAnsi"/>
        </w:rPr>
        <w:t>e,</w:t>
      </w:r>
      <w:r w:rsidRPr="00241EE9">
        <w:rPr>
          <w:rFonts w:cstheme="minorHAnsi"/>
        </w:rPr>
        <w:t xml:space="preserve"> </w:t>
      </w:r>
      <w:r w:rsidR="00131EBF" w:rsidRPr="00241EE9">
        <w:rPr>
          <w:rFonts w:cstheme="minorHAnsi"/>
        </w:rPr>
        <w:t>any</w:t>
      </w:r>
      <w:r w:rsidRPr="00241EE9">
        <w:rPr>
          <w:rFonts w:cstheme="minorHAnsi"/>
        </w:rPr>
        <w:t xml:space="preserve"> previous name(s) or aliases</w:t>
      </w:r>
      <w:r w:rsidR="00131EBF" w:rsidRPr="00241EE9">
        <w:rPr>
          <w:rFonts w:cstheme="minorHAnsi"/>
        </w:rPr>
        <w:t>.</w:t>
      </w:r>
    </w:p>
    <w:p w14:paraId="1C4A61ED" w14:textId="43F5DD14" w:rsidR="00E347E7" w:rsidRPr="00241EE9" w:rsidRDefault="00E347E7" w:rsidP="00932397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Senior HR Director will use HireRight to </w:t>
      </w:r>
      <w:r w:rsidR="007748B2" w:rsidRPr="00241EE9">
        <w:rPr>
          <w:rFonts w:cstheme="minorHAnsi"/>
        </w:rPr>
        <w:t xml:space="preserve">complete the </w:t>
      </w:r>
      <w:r w:rsidRPr="00241EE9">
        <w:rPr>
          <w:rFonts w:cstheme="minorHAnsi"/>
        </w:rPr>
        <w:t xml:space="preserve">search </w:t>
      </w:r>
      <w:r w:rsidR="007748B2" w:rsidRPr="00241EE9">
        <w:rPr>
          <w:rFonts w:cstheme="minorHAnsi"/>
        </w:rPr>
        <w:t xml:space="preserve">of </w:t>
      </w:r>
      <w:r w:rsidR="00351A5F" w:rsidRPr="00241EE9">
        <w:rPr>
          <w:rFonts w:cstheme="minorHAnsi"/>
        </w:rPr>
        <w:t xml:space="preserve">the Dru </w:t>
      </w:r>
      <w:proofErr w:type="spellStart"/>
      <w:r w:rsidR="00351A5F" w:rsidRPr="00241EE9">
        <w:rPr>
          <w:rFonts w:cstheme="minorHAnsi"/>
        </w:rPr>
        <w:t>Sjodin</w:t>
      </w:r>
      <w:proofErr w:type="spellEnd"/>
      <w:r w:rsidR="00351A5F" w:rsidRPr="00241EE9">
        <w:rPr>
          <w:rFonts w:cstheme="minorHAnsi"/>
        </w:rPr>
        <w:t xml:space="preserve"> National Sex Offender Public Website. </w:t>
      </w:r>
    </w:p>
    <w:p w14:paraId="09CD68A5" w14:textId="77777777" w:rsidR="004072AE" w:rsidRPr="00241EE9" w:rsidRDefault="004072AE" w:rsidP="004072AE">
      <w:pPr>
        <w:pStyle w:val="ListParagraph"/>
        <w:ind w:left="1440"/>
        <w:rPr>
          <w:rFonts w:cstheme="minorHAnsi"/>
        </w:rPr>
      </w:pPr>
    </w:p>
    <w:p w14:paraId="757CDF9F" w14:textId="7439D5F1" w:rsidR="004072AE" w:rsidRPr="00241EE9" w:rsidRDefault="004072AE" w:rsidP="004072AE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A name search of the </w:t>
      </w:r>
      <w:r w:rsidR="005420F2" w:rsidRPr="00241EE9">
        <w:rPr>
          <w:rFonts w:cstheme="minorHAnsi"/>
        </w:rPr>
        <w:t xml:space="preserve">public </w:t>
      </w:r>
      <w:r w:rsidR="00A04D2A" w:rsidRPr="00241EE9">
        <w:rPr>
          <w:rFonts w:cstheme="minorHAnsi"/>
        </w:rPr>
        <w:t xml:space="preserve">state child abuse websites/registries </w:t>
      </w:r>
    </w:p>
    <w:p w14:paraId="3F935720" w14:textId="255C4613" w:rsidR="00564D65" w:rsidRPr="00241EE9" w:rsidRDefault="00564D65" w:rsidP="00564D65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>The search must include the covered individual’s current name, and, if applicabl</w:t>
      </w:r>
      <w:r w:rsidR="00131EBF" w:rsidRPr="00241EE9">
        <w:rPr>
          <w:rFonts w:cstheme="minorHAnsi"/>
        </w:rPr>
        <w:t>e</w:t>
      </w:r>
      <w:r w:rsidRPr="00241EE9">
        <w:rPr>
          <w:rFonts w:cstheme="minorHAnsi"/>
        </w:rPr>
        <w:t xml:space="preserve"> </w:t>
      </w:r>
      <w:r w:rsidR="00131EBF" w:rsidRPr="00241EE9">
        <w:rPr>
          <w:rFonts w:cstheme="minorHAnsi"/>
        </w:rPr>
        <w:t>any</w:t>
      </w:r>
      <w:r w:rsidRPr="00241EE9">
        <w:rPr>
          <w:rFonts w:cstheme="minorHAnsi"/>
        </w:rPr>
        <w:t xml:space="preserve"> previous name(s) or aliases</w:t>
      </w:r>
      <w:r w:rsidR="00131EBF" w:rsidRPr="00241EE9">
        <w:rPr>
          <w:rFonts w:cstheme="minorHAnsi"/>
        </w:rPr>
        <w:t>.</w:t>
      </w:r>
    </w:p>
    <w:p w14:paraId="12824FE7" w14:textId="192CF22B" w:rsidR="00564D65" w:rsidRPr="00241EE9" w:rsidRDefault="00564D65" w:rsidP="00564D65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search must include the </w:t>
      </w:r>
      <w:r w:rsidR="00CC3DFC" w:rsidRPr="00241EE9">
        <w:rPr>
          <w:rFonts w:cstheme="minorHAnsi"/>
        </w:rPr>
        <w:t>public child abuse</w:t>
      </w:r>
      <w:r w:rsidRPr="00241EE9">
        <w:rPr>
          <w:rFonts w:cstheme="minorHAnsi"/>
        </w:rPr>
        <w:t xml:space="preserve"> websites and registries for every state in which the individual has lived, worked, or gone to school at </w:t>
      </w:r>
      <w:r w:rsidR="00D71193" w:rsidRPr="00241EE9">
        <w:rPr>
          <w:rFonts w:cstheme="minorHAnsi"/>
        </w:rPr>
        <w:t>any time</w:t>
      </w:r>
      <w:r w:rsidRPr="00241EE9">
        <w:rPr>
          <w:rFonts w:cstheme="minorHAnsi"/>
        </w:rPr>
        <w:t xml:space="preserve"> during the previous five years.</w:t>
      </w:r>
    </w:p>
    <w:p w14:paraId="2C400C43" w14:textId="05AE9FA4" w:rsidR="00564D65" w:rsidRPr="00241EE9" w:rsidRDefault="00564D65" w:rsidP="00564D65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search must include the public </w:t>
      </w:r>
      <w:r w:rsidR="00CC3DFC" w:rsidRPr="00241EE9">
        <w:rPr>
          <w:rFonts w:cstheme="minorHAnsi"/>
        </w:rPr>
        <w:t>child abuse</w:t>
      </w:r>
      <w:r w:rsidRPr="00241EE9">
        <w:rPr>
          <w:rFonts w:cstheme="minorHAnsi"/>
        </w:rPr>
        <w:t xml:space="preserve"> websites and registries for every state in which the covered individual is expected or reasonably likely to interact with participating minors </w:t>
      </w:r>
      <w:proofErr w:type="gramStart"/>
      <w:r w:rsidRPr="00241EE9">
        <w:rPr>
          <w:rFonts w:cstheme="minorHAnsi"/>
        </w:rPr>
        <w:t>in the course of</w:t>
      </w:r>
      <w:proofErr w:type="gramEnd"/>
      <w:r w:rsidRPr="00241EE9">
        <w:rPr>
          <w:rFonts w:cstheme="minorHAnsi"/>
        </w:rPr>
        <w:t xml:space="preserve"> activities under the award. </w:t>
      </w:r>
    </w:p>
    <w:p w14:paraId="0ADBD377" w14:textId="07356424" w:rsidR="00AE2898" w:rsidRPr="00241EE9" w:rsidRDefault="00CB6D29" w:rsidP="00E2448E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Iowa does not have a public </w:t>
      </w:r>
      <w:r w:rsidR="009B7C87" w:rsidRPr="00241EE9">
        <w:rPr>
          <w:rFonts w:cstheme="minorHAnsi"/>
        </w:rPr>
        <w:t>website or</w:t>
      </w:r>
      <w:r w:rsidRPr="00241EE9">
        <w:rPr>
          <w:rFonts w:cstheme="minorHAnsi"/>
        </w:rPr>
        <w:t xml:space="preserve"> registry for child abuse offenders.  </w:t>
      </w:r>
    </w:p>
    <w:p w14:paraId="4957B617" w14:textId="5783C137" w:rsidR="00351A5F" w:rsidRPr="00241EE9" w:rsidRDefault="00351A5F" w:rsidP="00E2448E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Senior HR Director will manually search </w:t>
      </w:r>
      <w:r w:rsidR="0011002F" w:rsidRPr="00241EE9">
        <w:rPr>
          <w:rFonts w:cstheme="minorHAnsi"/>
        </w:rPr>
        <w:t xml:space="preserve">public </w:t>
      </w:r>
      <w:r w:rsidR="0009473A" w:rsidRPr="00241EE9">
        <w:rPr>
          <w:rFonts w:cstheme="minorHAnsi"/>
        </w:rPr>
        <w:t>child abuse</w:t>
      </w:r>
      <w:r w:rsidR="0011002F" w:rsidRPr="00241EE9">
        <w:rPr>
          <w:rFonts w:cstheme="minorHAnsi"/>
        </w:rPr>
        <w:t xml:space="preserve"> registries for all </w:t>
      </w:r>
      <w:r w:rsidR="00E53EDC">
        <w:rPr>
          <w:rFonts w:cstheme="minorHAnsi"/>
        </w:rPr>
        <w:t xml:space="preserve">other </w:t>
      </w:r>
      <w:r w:rsidR="0011002F" w:rsidRPr="00241EE9">
        <w:rPr>
          <w:rFonts w:cstheme="minorHAnsi"/>
        </w:rPr>
        <w:t xml:space="preserve">states where the individual has lived, worked, or gone to school in the previous five years.  The Senior HR Director may consult with the Office of General Counsel for </w:t>
      </w:r>
      <w:r w:rsidR="00E52729" w:rsidRPr="00241EE9">
        <w:rPr>
          <w:rFonts w:cstheme="minorHAnsi"/>
        </w:rPr>
        <w:t xml:space="preserve">advice on </w:t>
      </w:r>
      <w:r w:rsidR="00252E9D" w:rsidRPr="00241EE9">
        <w:rPr>
          <w:rFonts w:cstheme="minorHAnsi"/>
        </w:rPr>
        <w:t xml:space="preserve">whether a state’s child abuse registry is public. </w:t>
      </w:r>
    </w:p>
    <w:p w14:paraId="6244C14C" w14:textId="77777777" w:rsidR="00E2448E" w:rsidRPr="00241EE9" w:rsidRDefault="00E2448E" w:rsidP="00E2448E">
      <w:pPr>
        <w:pStyle w:val="ListParagraph"/>
        <w:ind w:left="1440"/>
        <w:rPr>
          <w:rFonts w:cstheme="minorHAnsi"/>
        </w:rPr>
      </w:pPr>
    </w:p>
    <w:p w14:paraId="2F817FF5" w14:textId="53DCE50D" w:rsidR="00932397" w:rsidRPr="00241EE9" w:rsidRDefault="00932397" w:rsidP="00536B45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A fingerprint search with an FBI national criminal history search. </w:t>
      </w:r>
      <w:r w:rsidR="004C6FEF" w:rsidRPr="00241EE9">
        <w:rPr>
          <w:rFonts w:cstheme="minorHAnsi"/>
        </w:rPr>
        <w:t xml:space="preserve">  </w:t>
      </w:r>
    </w:p>
    <w:p w14:paraId="3223376F" w14:textId="0D2701DA" w:rsidR="00273629" w:rsidRPr="00241EE9" w:rsidRDefault="00273629" w:rsidP="00273629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search must include every state in which the individual has lived, worked, or gone to school at </w:t>
      </w:r>
      <w:r w:rsidR="00D71193" w:rsidRPr="00241EE9">
        <w:rPr>
          <w:rFonts w:cstheme="minorHAnsi"/>
        </w:rPr>
        <w:t>any time</w:t>
      </w:r>
      <w:r w:rsidRPr="00241EE9">
        <w:rPr>
          <w:rFonts w:cstheme="minorHAnsi"/>
        </w:rPr>
        <w:t xml:space="preserve"> during the previous five years.</w:t>
      </w:r>
    </w:p>
    <w:p w14:paraId="574FF97E" w14:textId="2FF1CB5C" w:rsidR="00273629" w:rsidRPr="00241EE9" w:rsidRDefault="00273629" w:rsidP="00B83460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>The search must include every state in which the</w:t>
      </w:r>
      <w:r w:rsidR="004F650A" w:rsidRPr="00241EE9">
        <w:rPr>
          <w:rFonts w:cstheme="minorHAnsi"/>
        </w:rPr>
        <w:t xml:space="preserve"> </w:t>
      </w:r>
      <w:r w:rsidRPr="00241EE9">
        <w:rPr>
          <w:rFonts w:cstheme="minorHAnsi"/>
        </w:rPr>
        <w:t xml:space="preserve">individual is expected or reasonably likely to interact with participating minors </w:t>
      </w:r>
      <w:proofErr w:type="gramStart"/>
      <w:r w:rsidRPr="00241EE9">
        <w:rPr>
          <w:rFonts w:cstheme="minorHAnsi"/>
        </w:rPr>
        <w:t>in the course of</w:t>
      </w:r>
      <w:proofErr w:type="gramEnd"/>
      <w:r w:rsidRPr="00241EE9">
        <w:rPr>
          <w:rFonts w:cstheme="minorHAnsi"/>
        </w:rPr>
        <w:t xml:space="preserve"> activities under the award. </w:t>
      </w:r>
    </w:p>
    <w:p w14:paraId="33BAC060" w14:textId="77777777" w:rsidR="00A32A8E" w:rsidRPr="00241EE9" w:rsidRDefault="00440703" w:rsidP="00B83460">
      <w:pPr>
        <w:pStyle w:val="ListParagraph"/>
        <w:numPr>
          <w:ilvl w:val="1"/>
          <w:numId w:val="9"/>
        </w:numPr>
        <w:rPr>
          <w:rFonts w:cstheme="minorHAnsi"/>
        </w:rPr>
      </w:pPr>
      <w:r w:rsidRPr="00241EE9">
        <w:rPr>
          <w:rFonts w:cstheme="minorHAnsi"/>
        </w:rPr>
        <w:t xml:space="preserve">The fingerprint search may be run through </w:t>
      </w:r>
      <w:proofErr w:type="spellStart"/>
      <w:r w:rsidRPr="00241EE9">
        <w:rPr>
          <w:rFonts w:cstheme="minorHAnsi"/>
        </w:rPr>
        <w:t>FieldPrint</w:t>
      </w:r>
      <w:proofErr w:type="spellEnd"/>
      <w:r w:rsidR="006A0C12" w:rsidRPr="00241EE9">
        <w:rPr>
          <w:rFonts w:cstheme="minorHAnsi"/>
        </w:rPr>
        <w:t xml:space="preserve">, which will capture the individual’s consent to perform the </w:t>
      </w:r>
      <w:r w:rsidR="00D826F7" w:rsidRPr="00241EE9">
        <w:rPr>
          <w:rFonts w:cstheme="minorHAnsi"/>
        </w:rPr>
        <w:t xml:space="preserve">background checks.  </w:t>
      </w:r>
    </w:p>
    <w:p w14:paraId="7AAAC074" w14:textId="77777777" w:rsidR="00B71247" w:rsidRPr="00241EE9" w:rsidRDefault="00B71247" w:rsidP="00B71247">
      <w:pPr>
        <w:pStyle w:val="ListParagraph"/>
        <w:rPr>
          <w:rFonts w:cstheme="minorHAnsi"/>
        </w:rPr>
      </w:pPr>
    </w:p>
    <w:p w14:paraId="1245B9DF" w14:textId="77777777" w:rsidR="00B360B6" w:rsidRPr="00241EE9" w:rsidRDefault="00B360B6" w:rsidP="00B360B6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>All searches must be completed no earlier than six months before the suitability determination.</w:t>
      </w:r>
    </w:p>
    <w:p w14:paraId="2611E74B" w14:textId="77777777" w:rsidR="00B360B6" w:rsidRPr="00241EE9" w:rsidRDefault="00B360B6" w:rsidP="00B360B6">
      <w:pPr>
        <w:pStyle w:val="ListParagraph"/>
        <w:rPr>
          <w:rFonts w:cstheme="minorHAnsi"/>
          <w:b/>
          <w:bCs/>
        </w:rPr>
      </w:pPr>
    </w:p>
    <w:p w14:paraId="796E9779" w14:textId="3E4787A9" w:rsidR="00B71247" w:rsidRPr="00241EE9" w:rsidRDefault="00B71247" w:rsidP="004072AE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>Th</w:t>
      </w:r>
      <w:r w:rsidR="007D1109" w:rsidRPr="00241EE9">
        <w:rPr>
          <w:rFonts w:cstheme="minorHAnsi"/>
        </w:rPr>
        <w:t>e suitability</w:t>
      </w:r>
      <w:r w:rsidRPr="00241EE9">
        <w:rPr>
          <w:rFonts w:cstheme="minorHAnsi"/>
        </w:rPr>
        <w:t xml:space="preserve"> screening does </w:t>
      </w:r>
      <w:r w:rsidR="00822272" w:rsidRPr="00241EE9">
        <w:rPr>
          <w:rFonts w:cstheme="minorHAnsi"/>
        </w:rPr>
        <w:t xml:space="preserve">not </w:t>
      </w:r>
      <w:r w:rsidR="007F48D2" w:rsidRPr="00241EE9">
        <w:rPr>
          <w:rFonts w:cstheme="minorHAnsi"/>
        </w:rPr>
        <w:t>supplant</w:t>
      </w:r>
      <w:r w:rsidRPr="00241EE9">
        <w:rPr>
          <w:rFonts w:cstheme="minorHAnsi"/>
        </w:rPr>
        <w:t xml:space="preserve"> the criminal background check done at the point of hire</w:t>
      </w:r>
      <w:r w:rsidR="00AE2898" w:rsidRPr="00241EE9">
        <w:rPr>
          <w:rFonts w:cstheme="minorHAnsi"/>
        </w:rPr>
        <w:t>;</w:t>
      </w:r>
      <w:r w:rsidRPr="00241EE9">
        <w:rPr>
          <w:rFonts w:cstheme="minorHAnsi"/>
        </w:rPr>
        <w:t xml:space="preserve"> this is in addition to those requirements.  </w:t>
      </w:r>
    </w:p>
    <w:p w14:paraId="4D69F1C7" w14:textId="77777777" w:rsidR="00746546" w:rsidRPr="00241EE9" w:rsidRDefault="00746546" w:rsidP="00746546">
      <w:pPr>
        <w:pStyle w:val="ListParagraph"/>
        <w:rPr>
          <w:rFonts w:cstheme="minorHAnsi"/>
        </w:rPr>
      </w:pPr>
    </w:p>
    <w:p w14:paraId="7E383584" w14:textId="0B9A15AF" w:rsidR="00746546" w:rsidRPr="00241EE9" w:rsidRDefault="00746546" w:rsidP="004072AE">
      <w:pPr>
        <w:pStyle w:val="ListParagraph"/>
        <w:numPr>
          <w:ilvl w:val="0"/>
          <w:numId w:val="9"/>
        </w:numPr>
        <w:rPr>
          <w:rFonts w:cstheme="minorHAnsi"/>
        </w:rPr>
      </w:pPr>
      <w:r w:rsidRPr="00241EE9">
        <w:rPr>
          <w:rFonts w:cstheme="minorHAnsi"/>
        </w:rPr>
        <w:t>Grant funds can</w:t>
      </w:r>
      <w:r w:rsidR="00F76984" w:rsidRPr="00241EE9">
        <w:rPr>
          <w:rFonts w:cstheme="minorHAnsi"/>
        </w:rPr>
        <w:t xml:space="preserve"> be used to</w:t>
      </w:r>
      <w:r w:rsidRPr="00241EE9">
        <w:rPr>
          <w:rFonts w:cstheme="minorHAnsi"/>
        </w:rPr>
        <w:t xml:space="preserve"> pay for the costs of the screening, provided such funds are reasonable, necessary, and allocated.  </w:t>
      </w:r>
    </w:p>
    <w:p w14:paraId="6993144E" w14:textId="77777777" w:rsidR="002E50A1" w:rsidRPr="00241EE9" w:rsidRDefault="002E50A1" w:rsidP="002E50A1">
      <w:pPr>
        <w:pStyle w:val="ListParagraph"/>
        <w:rPr>
          <w:rFonts w:cstheme="minorHAnsi"/>
        </w:rPr>
      </w:pPr>
    </w:p>
    <w:p w14:paraId="2292ABB5" w14:textId="36364BE1" w:rsidR="00967617" w:rsidRPr="00241EE9" w:rsidRDefault="00967617" w:rsidP="00E8439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41EE9">
        <w:rPr>
          <w:rFonts w:cstheme="minorHAnsi"/>
          <w:b/>
          <w:bCs/>
        </w:rPr>
        <w:lastRenderedPageBreak/>
        <w:t xml:space="preserve">Decision-Making Criteria/Considerations </w:t>
      </w:r>
      <w:r w:rsidR="001F1A0E" w:rsidRPr="00241EE9">
        <w:rPr>
          <w:rFonts w:cstheme="minorHAnsi"/>
          <w:b/>
          <w:bCs/>
        </w:rPr>
        <w:t xml:space="preserve"> </w:t>
      </w:r>
    </w:p>
    <w:p w14:paraId="2F9C7729" w14:textId="3A64C359" w:rsidR="007D4BC6" w:rsidRPr="00241EE9" w:rsidRDefault="00967617" w:rsidP="00FB49D7">
      <w:pPr>
        <w:rPr>
          <w:rFonts w:cstheme="minorHAnsi"/>
          <w:color w:val="1B1B1B"/>
        </w:rPr>
      </w:pPr>
      <w:r w:rsidRPr="00241EE9">
        <w:rPr>
          <w:rFonts w:cstheme="minorHAnsi"/>
          <w:color w:val="1B1B1B"/>
        </w:rPr>
        <w:softHyphen/>
        <w:t>The Senior HR Director in the Department</w:t>
      </w:r>
      <w:r w:rsidR="007D4BC6" w:rsidRPr="00241EE9">
        <w:rPr>
          <w:rFonts w:cstheme="minorHAnsi"/>
          <w:color w:val="1B1B1B"/>
        </w:rPr>
        <w:t xml:space="preserve"> associated with the grant</w:t>
      </w:r>
      <w:r w:rsidRPr="00241EE9">
        <w:rPr>
          <w:rFonts w:cstheme="minorHAnsi"/>
          <w:color w:val="1B1B1B"/>
        </w:rPr>
        <w:t xml:space="preserve"> must consider the results of the screening in making suitability determinations.  </w:t>
      </w:r>
    </w:p>
    <w:p w14:paraId="6B1174AA" w14:textId="0C75B0A9" w:rsidR="001F1A0E" w:rsidRPr="00241EE9" w:rsidRDefault="002C782E" w:rsidP="00FB49D7">
      <w:pPr>
        <w:rPr>
          <w:rFonts w:cstheme="minorHAnsi"/>
        </w:rPr>
      </w:pPr>
      <w:r w:rsidRPr="00241EE9">
        <w:rPr>
          <w:rFonts w:cstheme="minorHAnsi"/>
          <w:color w:val="1B1B1B"/>
        </w:rPr>
        <w:t>Unless prohibited by law, an</w:t>
      </w:r>
      <w:r w:rsidR="001F1A0E" w:rsidRPr="00241EE9">
        <w:rPr>
          <w:rFonts w:cstheme="minorHAnsi"/>
        </w:rPr>
        <w:t xml:space="preserve"> individual will be deemed unsuitable if the individual:  </w:t>
      </w:r>
    </w:p>
    <w:p w14:paraId="1F026860" w14:textId="4230F41B" w:rsidR="001F1A0E" w:rsidRPr="00241EE9" w:rsidRDefault="001F1A0E" w:rsidP="00FB49D7">
      <w:pPr>
        <w:pStyle w:val="ListParagraph"/>
        <w:numPr>
          <w:ilvl w:val="0"/>
          <w:numId w:val="6"/>
        </w:numPr>
        <w:rPr>
          <w:rFonts w:cstheme="minorHAnsi"/>
        </w:rPr>
      </w:pPr>
      <w:r w:rsidRPr="00241EE9">
        <w:rPr>
          <w:rFonts w:cstheme="minorHAnsi"/>
        </w:rPr>
        <w:t xml:space="preserve">Withholds consent to a criminal history search as </w:t>
      </w:r>
      <w:proofErr w:type="gramStart"/>
      <w:r w:rsidRPr="00241EE9">
        <w:rPr>
          <w:rFonts w:cstheme="minorHAnsi"/>
        </w:rPr>
        <w:t>required;</w:t>
      </w:r>
      <w:proofErr w:type="gramEnd"/>
    </w:p>
    <w:p w14:paraId="3A6AFE45" w14:textId="77777777" w:rsidR="001F1A0E" w:rsidRPr="00241EE9" w:rsidRDefault="001F1A0E" w:rsidP="00FB49D7">
      <w:pPr>
        <w:pStyle w:val="ListParagraph"/>
        <w:numPr>
          <w:ilvl w:val="0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Knowingly makes a false statement that affects, or is intended to affect, any search as </w:t>
      </w:r>
      <w:proofErr w:type="gramStart"/>
      <w:r w:rsidRPr="00241EE9">
        <w:rPr>
          <w:rFonts w:cstheme="minorHAnsi"/>
        </w:rPr>
        <w:t>required;</w:t>
      </w:r>
      <w:proofErr w:type="gramEnd"/>
    </w:p>
    <w:p w14:paraId="35A97D46" w14:textId="5EB7F9C1" w:rsidR="001F1A0E" w:rsidRPr="00241EE9" w:rsidRDefault="001F1A0E" w:rsidP="00FB49D7">
      <w:pPr>
        <w:pStyle w:val="ListParagraph"/>
        <w:numPr>
          <w:ilvl w:val="0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Is listed as a registered sex offender on the Dru </w:t>
      </w:r>
      <w:proofErr w:type="spellStart"/>
      <w:r w:rsidRPr="00241EE9">
        <w:rPr>
          <w:rFonts w:cstheme="minorHAnsi"/>
        </w:rPr>
        <w:t>Sjodin</w:t>
      </w:r>
      <w:proofErr w:type="spellEnd"/>
      <w:r w:rsidRPr="00241EE9">
        <w:rPr>
          <w:rFonts w:cstheme="minorHAnsi"/>
        </w:rPr>
        <w:t xml:space="preserve"> National Sex Offender website or </w:t>
      </w:r>
      <w:r w:rsidR="00BE42C4" w:rsidRPr="00241EE9">
        <w:rPr>
          <w:rFonts w:cstheme="minorHAnsi"/>
        </w:rPr>
        <w:t>any state p</w:t>
      </w:r>
      <w:r w:rsidRPr="00241EE9">
        <w:rPr>
          <w:rFonts w:cstheme="minorHAnsi"/>
        </w:rPr>
        <w:t xml:space="preserve">ublic sex offender </w:t>
      </w:r>
      <w:proofErr w:type="gramStart"/>
      <w:r w:rsidRPr="00241EE9">
        <w:rPr>
          <w:rFonts w:cstheme="minorHAnsi"/>
        </w:rPr>
        <w:t>registry;</w:t>
      </w:r>
      <w:proofErr w:type="gramEnd"/>
    </w:p>
    <w:p w14:paraId="4237C8F6" w14:textId="77777777" w:rsidR="001F1A0E" w:rsidRPr="00241EE9" w:rsidRDefault="001F1A0E" w:rsidP="00FB49D7">
      <w:pPr>
        <w:pStyle w:val="ListParagraph"/>
        <w:numPr>
          <w:ilvl w:val="0"/>
          <w:numId w:val="4"/>
        </w:numPr>
        <w:rPr>
          <w:rFonts w:cstheme="minorHAnsi"/>
        </w:rPr>
      </w:pPr>
      <w:r w:rsidRPr="00241EE9">
        <w:rPr>
          <w:rFonts w:cstheme="minorHAnsi"/>
        </w:rPr>
        <w:t>Has been convicted of any misdemeanor or felony, under federal, state, tribal or local law, for any of the following crimes, including:</w:t>
      </w:r>
    </w:p>
    <w:p w14:paraId="712559BC" w14:textId="77777777" w:rsidR="001F1A0E" w:rsidRPr="00241EE9" w:rsidRDefault="001F1A0E" w:rsidP="007222E5">
      <w:pPr>
        <w:pStyle w:val="ListParagraph"/>
        <w:numPr>
          <w:ilvl w:val="1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Sexual or physical abuse, neglect or endangerment of an individual under the age of 18 at the time of the </w:t>
      </w:r>
      <w:proofErr w:type="gramStart"/>
      <w:r w:rsidRPr="00241EE9">
        <w:rPr>
          <w:rFonts w:cstheme="minorHAnsi"/>
        </w:rPr>
        <w:t>offense;</w:t>
      </w:r>
      <w:proofErr w:type="gramEnd"/>
    </w:p>
    <w:p w14:paraId="40F06F5E" w14:textId="77777777" w:rsidR="001F1A0E" w:rsidRPr="00241EE9" w:rsidRDefault="001F1A0E" w:rsidP="007222E5">
      <w:pPr>
        <w:pStyle w:val="ListParagraph"/>
        <w:numPr>
          <w:ilvl w:val="1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Rape or sexual assault, including conspiracy or attempt to commit rape or sexual </w:t>
      </w:r>
      <w:proofErr w:type="gramStart"/>
      <w:r w:rsidRPr="00241EE9">
        <w:rPr>
          <w:rFonts w:cstheme="minorHAnsi"/>
        </w:rPr>
        <w:t>assault;</w:t>
      </w:r>
      <w:proofErr w:type="gramEnd"/>
    </w:p>
    <w:p w14:paraId="62ED3C8B" w14:textId="77777777" w:rsidR="001F1A0E" w:rsidRPr="00241EE9" w:rsidRDefault="001F1A0E" w:rsidP="007222E5">
      <w:pPr>
        <w:pStyle w:val="ListParagraph"/>
        <w:numPr>
          <w:ilvl w:val="1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Sexual exploitation, including child pornography or sex </w:t>
      </w:r>
      <w:proofErr w:type="gramStart"/>
      <w:r w:rsidRPr="00241EE9">
        <w:rPr>
          <w:rFonts w:cstheme="minorHAnsi"/>
        </w:rPr>
        <w:t>trafficking;</w:t>
      </w:r>
      <w:proofErr w:type="gramEnd"/>
    </w:p>
    <w:p w14:paraId="423880B4" w14:textId="77777777" w:rsidR="001F1A0E" w:rsidRPr="00241EE9" w:rsidRDefault="001F1A0E" w:rsidP="007222E5">
      <w:pPr>
        <w:pStyle w:val="ListParagraph"/>
        <w:numPr>
          <w:ilvl w:val="1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Kidnapping at any </w:t>
      </w:r>
      <w:proofErr w:type="gramStart"/>
      <w:r w:rsidRPr="00241EE9">
        <w:rPr>
          <w:rFonts w:cstheme="minorHAnsi"/>
        </w:rPr>
        <w:t>level;</w:t>
      </w:r>
      <w:proofErr w:type="gramEnd"/>
    </w:p>
    <w:p w14:paraId="0CAE5BED" w14:textId="77777777" w:rsidR="001F1A0E" w:rsidRPr="00241EE9" w:rsidRDefault="001F1A0E" w:rsidP="007222E5">
      <w:pPr>
        <w:pStyle w:val="ListParagraph"/>
        <w:numPr>
          <w:ilvl w:val="1"/>
          <w:numId w:val="4"/>
        </w:numPr>
        <w:rPr>
          <w:rFonts w:cstheme="minorHAnsi"/>
        </w:rPr>
      </w:pPr>
      <w:r w:rsidRPr="00241EE9">
        <w:rPr>
          <w:rFonts w:cstheme="minorHAnsi"/>
        </w:rPr>
        <w:t>Voyeurism; or</w:t>
      </w:r>
    </w:p>
    <w:p w14:paraId="1809411B" w14:textId="77777777" w:rsidR="001F1A0E" w:rsidRPr="00241EE9" w:rsidRDefault="001F1A0E" w:rsidP="00FB49D7">
      <w:pPr>
        <w:pStyle w:val="ListParagraph"/>
        <w:numPr>
          <w:ilvl w:val="1"/>
          <w:numId w:val="4"/>
        </w:numPr>
        <w:rPr>
          <w:rFonts w:cstheme="minorHAnsi"/>
        </w:rPr>
      </w:pPr>
      <w:r w:rsidRPr="00241EE9">
        <w:rPr>
          <w:rFonts w:cstheme="minorHAnsi"/>
        </w:rPr>
        <w:t>Is determined by another federal, state, tribal or local government agency to be unsuitable pursuant to this certified assurance.</w:t>
      </w:r>
    </w:p>
    <w:p w14:paraId="5EAE7546" w14:textId="77777777" w:rsidR="005952C3" w:rsidRPr="00241EE9" w:rsidRDefault="005952C3" w:rsidP="005952C3">
      <w:pPr>
        <w:pStyle w:val="ListParagraph"/>
        <w:ind w:left="1800"/>
        <w:rPr>
          <w:rFonts w:cstheme="minorHAnsi"/>
        </w:rPr>
      </w:pPr>
    </w:p>
    <w:p w14:paraId="6780A06A" w14:textId="77777777" w:rsidR="00967617" w:rsidRPr="00241EE9" w:rsidRDefault="00967617" w:rsidP="00FB49D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41EE9">
        <w:rPr>
          <w:rFonts w:cstheme="minorHAnsi"/>
          <w:b/>
          <w:bCs/>
        </w:rPr>
        <w:t xml:space="preserve">Written Determination of Suitability </w:t>
      </w:r>
    </w:p>
    <w:p w14:paraId="4C96F286" w14:textId="397AB592" w:rsidR="00967617" w:rsidRPr="00241EE9" w:rsidRDefault="00967617" w:rsidP="00FB49D7">
      <w:pPr>
        <w:rPr>
          <w:rFonts w:cstheme="minorHAnsi"/>
        </w:rPr>
      </w:pPr>
      <w:r w:rsidRPr="00241EE9">
        <w:rPr>
          <w:rFonts w:cstheme="minorHAnsi"/>
          <w:color w:val="1B1B1B"/>
        </w:rPr>
        <w:softHyphen/>
        <w:t xml:space="preserve">The Senior HR Director in the Department associated with the grant will make a </w:t>
      </w:r>
      <w:r w:rsidRPr="00241EE9">
        <w:rPr>
          <w:rFonts w:cstheme="minorHAnsi"/>
          <w:bCs/>
          <w:color w:val="1B1B1B"/>
        </w:rPr>
        <w:t>written determination of suitability</w:t>
      </w:r>
      <w:r w:rsidRPr="00241EE9">
        <w:rPr>
          <w:rFonts w:cstheme="minorHAnsi"/>
          <w:b/>
          <w:bCs/>
          <w:color w:val="1B1B1B"/>
        </w:rPr>
        <w:t xml:space="preserve"> </w:t>
      </w:r>
      <w:r w:rsidRPr="00241EE9">
        <w:rPr>
          <w:rFonts w:cstheme="minorHAnsi"/>
          <w:color w:val="1B1B1B"/>
        </w:rPr>
        <w:t xml:space="preserve">before </w:t>
      </w:r>
      <w:r w:rsidR="00F61852" w:rsidRPr="00241EE9">
        <w:rPr>
          <w:rFonts w:cstheme="minorHAnsi"/>
          <w:color w:val="1B1B1B"/>
        </w:rPr>
        <w:t xml:space="preserve">the </w:t>
      </w:r>
      <w:r w:rsidRPr="00241EE9">
        <w:rPr>
          <w:rFonts w:cstheme="minorHAnsi"/>
          <w:bCs/>
          <w:color w:val="1B1B1B"/>
        </w:rPr>
        <w:t>covered individual</w:t>
      </w:r>
      <w:r w:rsidRPr="00241EE9">
        <w:rPr>
          <w:rFonts w:cstheme="minorHAnsi"/>
          <w:b/>
          <w:bCs/>
          <w:color w:val="1B1B1B"/>
        </w:rPr>
        <w:t xml:space="preserve"> </w:t>
      </w:r>
      <w:r w:rsidRPr="00241EE9">
        <w:rPr>
          <w:rFonts w:cstheme="minorHAnsi"/>
          <w:color w:val="1B1B1B"/>
        </w:rPr>
        <w:t xml:space="preserve">may interact with participating minors. This </w:t>
      </w:r>
      <w:r w:rsidR="00F61852" w:rsidRPr="00241EE9">
        <w:rPr>
          <w:rFonts w:cstheme="minorHAnsi"/>
          <w:color w:val="1B1B1B"/>
        </w:rPr>
        <w:t xml:space="preserve">determination </w:t>
      </w:r>
      <w:r w:rsidRPr="00241EE9">
        <w:rPr>
          <w:rFonts w:cstheme="minorHAnsi"/>
          <w:color w:val="1B1B1B"/>
        </w:rPr>
        <w:t xml:space="preserve">must be based on </w:t>
      </w:r>
      <w:r w:rsidRPr="00241EE9">
        <w:rPr>
          <w:rFonts w:cstheme="minorHAnsi"/>
          <w:bCs/>
          <w:color w:val="1B1B1B"/>
        </w:rPr>
        <w:t>the suitability screenings and the factors and considerations</w:t>
      </w:r>
      <w:r w:rsidRPr="00241EE9">
        <w:rPr>
          <w:rFonts w:cstheme="minorHAnsi"/>
        </w:rPr>
        <w:t xml:space="preserve"> as outlined </w:t>
      </w:r>
      <w:r w:rsidR="00930578" w:rsidRPr="00241EE9">
        <w:rPr>
          <w:rFonts w:cstheme="minorHAnsi"/>
        </w:rPr>
        <w:t>above</w:t>
      </w:r>
      <w:r w:rsidRPr="00241EE9">
        <w:rPr>
          <w:rFonts w:cstheme="minorHAnsi"/>
        </w:rPr>
        <w:t>.</w:t>
      </w:r>
    </w:p>
    <w:p w14:paraId="39C0203F" w14:textId="2CF24E05" w:rsidR="00F83B85" w:rsidRPr="00241EE9" w:rsidRDefault="00FB49D7" w:rsidP="00FB49D7">
      <w:pPr>
        <w:rPr>
          <w:rFonts w:cstheme="minorHAnsi"/>
        </w:rPr>
      </w:pPr>
      <w:r w:rsidRPr="00241EE9">
        <w:rPr>
          <w:rFonts w:cstheme="minorHAnsi"/>
        </w:rPr>
        <w:t>T</w:t>
      </w:r>
      <w:r w:rsidR="00DD23C0" w:rsidRPr="00241EE9">
        <w:rPr>
          <w:rFonts w:cstheme="minorHAnsi"/>
        </w:rPr>
        <w:t>he Senior HR Director</w:t>
      </w:r>
      <w:r w:rsidR="00F61852" w:rsidRPr="00241EE9">
        <w:rPr>
          <w:rFonts w:cstheme="minorHAnsi"/>
        </w:rPr>
        <w:t xml:space="preserve"> or designee</w:t>
      </w:r>
      <w:r w:rsidR="00DD23C0" w:rsidRPr="00241EE9">
        <w:rPr>
          <w:rFonts w:cstheme="minorHAnsi"/>
        </w:rPr>
        <w:t xml:space="preserve"> may consult with the </w:t>
      </w:r>
      <w:r w:rsidR="005952C3" w:rsidRPr="00241EE9">
        <w:rPr>
          <w:rFonts w:cstheme="minorHAnsi"/>
        </w:rPr>
        <w:t>University HR</w:t>
      </w:r>
      <w:r w:rsidR="00DD23C0" w:rsidRPr="00241EE9">
        <w:rPr>
          <w:rFonts w:cstheme="minorHAnsi"/>
        </w:rPr>
        <w:t xml:space="preserve"> and the Office of General Counsel in making determinations of suitability</w:t>
      </w:r>
      <w:r w:rsidR="007222E5" w:rsidRPr="00241EE9">
        <w:rPr>
          <w:rFonts w:eastAsia="Times New Roman" w:cstheme="minorHAnsi"/>
          <w:color w:val="000000"/>
          <w:kern w:val="0"/>
          <w14:ligatures w14:val="none"/>
        </w:rPr>
        <w:t xml:space="preserve">. </w:t>
      </w:r>
      <w:r w:rsidR="00A102CB" w:rsidRPr="00241EE9">
        <w:rPr>
          <w:rFonts w:eastAsia="Times New Roman" w:cstheme="minorHAnsi"/>
          <w:color w:val="000000"/>
          <w:kern w:val="0"/>
          <w14:ligatures w14:val="none"/>
        </w:rPr>
        <w:t>W</w:t>
      </w:r>
      <w:r w:rsidR="00F83B85" w:rsidRPr="00241EE9">
        <w:rPr>
          <w:rFonts w:eastAsia="Times New Roman" w:cstheme="minorHAnsi"/>
          <w:color w:val="000000"/>
          <w:kern w:val="0"/>
          <w14:ligatures w14:val="none"/>
        </w:rPr>
        <w:t xml:space="preserve">hen the </w:t>
      </w:r>
      <w:r w:rsidR="00E83432" w:rsidRPr="00241EE9">
        <w:rPr>
          <w:rFonts w:eastAsia="Times New Roman" w:cstheme="minorHAnsi"/>
          <w:color w:val="000000"/>
          <w:kern w:val="0"/>
          <w14:ligatures w14:val="none"/>
        </w:rPr>
        <w:t xml:space="preserve">suitability </w:t>
      </w:r>
      <w:r w:rsidR="00BF6E15" w:rsidRPr="00241EE9">
        <w:rPr>
          <w:rFonts w:eastAsia="Times New Roman" w:cstheme="minorHAnsi"/>
          <w:color w:val="000000"/>
          <w:kern w:val="0"/>
          <w14:ligatures w14:val="none"/>
        </w:rPr>
        <w:t>screening</w:t>
      </w:r>
      <w:r w:rsidR="00F83B85" w:rsidRPr="00241EE9">
        <w:rPr>
          <w:rFonts w:eastAsia="Times New Roman" w:cstheme="minorHAnsi"/>
          <w:color w:val="000000"/>
          <w:kern w:val="0"/>
          <w14:ligatures w14:val="none"/>
        </w:rPr>
        <w:t xml:space="preserve"> reflects a criminal conviction</w:t>
      </w:r>
      <w:r w:rsidR="00BF6E15" w:rsidRPr="00241EE9">
        <w:rPr>
          <w:rFonts w:eastAsia="Times New Roman" w:cstheme="minorHAnsi"/>
          <w:color w:val="000000"/>
          <w:kern w:val="0"/>
          <w14:ligatures w14:val="none"/>
        </w:rPr>
        <w:t xml:space="preserve"> or one of the </w:t>
      </w:r>
      <w:proofErr w:type="gramStart"/>
      <w:r w:rsidR="00BF6E15" w:rsidRPr="00241EE9">
        <w:rPr>
          <w:rFonts w:eastAsia="Times New Roman" w:cstheme="minorHAnsi"/>
          <w:color w:val="000000"/>
          <w:kern w:val="0"/>
          <w14:ligatures w14:val="none"/>
        </w:rPr>
        <w:t>above mentioned</w:t>
      </w:r>
      <w:proofErr w:type="gramEnd"/>
      <w:r w:rsidR="00BF6E15" w:rsidRPr="00241EE9">
        <w:rPr>
          <w:rFonts w:eastAsia="Times New Roman" w:cstheme="minorHAnsi"/>
          <w:color w:val="000000"/>
          <w:kern w:val="0"/>
          <w14:ligatures w14:val="none"/>
        </w:rPr>
        <w:t xml:space="preserve"> factors, </w:t>
      </w:r>
      <w:r w:rsidR="00F83B85" w:rsidRPr="00241EE9">
        <w:rPr>
          <w:rFonts w:eastAsia="Times New Roman" w:cstheme="minorHAnsi"/>
          <w:color w:val="000000"/>
          <w:kern w:val="0"/>
          <w14:ligatures w14:val="none"/>
        </w:rPr>
        <w:t xml:space="preserve">the </w:t>
      </w:r>
      <w:r w:rsidR="00BF6E15" w:rsidRPr="00241EE9">
        <w:rPr>
          <w:rFonts w:eastAsia="Times New Roman" w:cstheme="minorHAnsi"/>
          <w:color w:val="000000"/>
          <w:kern w:val="0"/>
          <w14:ligatures w14:val="none"/>
        </w:rPr>
        <w:t>S</w:t>
      </w:r>
      <w:r w:rsidR="00F83B85" w:rsidRPr="00241EE9">
        <w:rPr>
          <w:rFonts w:eastAsia="Times New Roman" w:cstheme="minorHAnsi"/>
          <w:color w:val="000000"/>
          <w:kern w:val="0"/>
          <w14:ligatures w14:val="none"/>
        </w:rPr>
        <w:t xml:space="preserve">enior HR </w:t>
      </w:r>
      <w:r w:rsidR="00BF6E15" w:rsidRPr="00241EE9">
        <w:rPr>
          <w:rFonts w:eastAsia="Times New Roman" w:cstheme="minorHAnsi"/>
          <w:color w:val="000000"/>
          <w:kern w:val="0"/>
          <w14:ligatures w14:val="none"/>
        </w:rPr>
        <w:t xml:space="preserve">Director </w:t>
      </w:r>
      <w:r w:rsidR="00F61852" w:rsidRPr="00241EE9">
        <w:rPr>
          <w:rFonts w:eastAsia="Times New Roman" w:cstheme="minorHAnsi"/>
          <w:color w:val="000000"/>
          <w:kern w:val="0"/>
          <w14:ligatures w14:val="none"/>
        </w:rPr>
        <w:t xml:space="preserve">or designee </w:t>
      </w:r>
      <w:r w:rsidR="00F83B85" w:rsidRPr="00241EE9">
        <w:rPr>
          <w:rFonts w:eastAsia="Times New Roman" w:cstheme="minorHAnsi"/>
          <w:color w:val="000000"/>
          <w:kern w:val="0"/>
          <w14:ligatures w14:val="none"/>
        </w:rPr>
        <w:t>shall consult with:</w:t>
      </w:r>
    </w:p>
    <w:p w14:paraId="1AA1E02A" w14:textId="77777777" w:rsidR="00F83B85" w:rsidRPr="00241EE9" w:rsidRDefault="00F83B85" w:rsidP="00FB49D7">
      <w:pPr>
        <w:numPr>
          <w:ilvl w:val="1"/>
          <w:numId w:val="10"/>
        </w:numPr>
        <w:rPr>
          <w:rFonts w:eastAsia="Times New Roman" w:cstheme="minorHAnsi"/>
          <w:color w:val="000000"/>
          <w:kern w:val="0"/>
          <w14:ligatures w14:val="none"/>
        </w:rPr>
      </w:pPr>
      <w:r w:rsidRPr="00241EE9">
        <w:rPr>
          <w:rFonts w:eastAsia="Times New Roman" w:cstheme="minorHAnsi"/>
          <w:color w:val="000000"/>
          <w:kern w:val="0"/>
          <w14:ligatures w14:val="none"/>
        </w:rPr>
        <w:t xml:space="preserve">For staff positions outside of UI Health Care, University HR and the Office of the General </w:t>
      </w:r>
      <w:proofErr w:type="gramStart"/>
      <w:r w:rsidRPr="00241EE9">
        <w:rPr>
          <w:rFonts w:eastAsia="Times New Roman" w:cstheme="minorHAnsi"/>
          <w:color w:val="000000"/>
          <w:kern w:val="0"/>
          <w14:ligatures w14:val="none"/>
        </w:rPr>
        <w:t>Counsel;</w:t>
      </w:r>
      <w:proofErr w:type="gramEnd"/>
      <w:r w:rsidRPr="00241EE9">
        <w:rPr>
          <w:rFonts w:eastAsia="Times New Roman" w:cstheme="minorHAnsi"/>
          <w:color w:val="000000"/>
          <w:kern w:val="0"/>
          <w14:ligatures w14:val="none"/>
        </w:rPr>
        <w:t> </w:t>
      </w:r>
    </w:p>
    <w:p w14:paraId="4F21657A" w14:textId="09434230" w:rsidR="00F83B85" w:rsidRPr="00241EE9" w:rsidRDefault="00F83B85" w:rsidP="00FB49D7">
      <w:pPr>
        <w:numPr>
          <w:ilvl w:val="1"/>
          <w:numId w:val="10"/>
        </w:numPr>
        <w:rPr>
          <w:rFonts w:eastAsia="Times New Roman" w:cstheme="minorHAnsi"/>
          <w:color w:val="000000"/>
          <w:kern w:val="0"/>
          <w14:ligatures w14:val="none"/>
        </w:rPr>
      </w:pPr>
      <w:r w:rsidRPr="00241EE9">
        <w:rPr>
          <w:rFonts w:eastAsia="Times New Roman" w:cstheme="minorHAnsi"/>
          <w:color w:val="000000"/>
          <w:kern w:val="0"/>
          <w14:ligatures w14:val="none"/>
        </w:rPr>
        <w:t xml:space="preserve">For UI Health Care staff positions, UI Health Care HR and the Office of the General </w:t>
      </w:r>
      <w:proofErr w:type="gramStart"/>
      <w:r w:rsidRPr="00241EE9">
        <w:rPr>
          <w:rFonts w:eastAsia="Times New Roman" w:cstheme="minorHAnsi"/>
          <w:color w:val="000000"/>
          <w:kern w:val="0"/>
          <w14:ligatures w14:val="none"/>
        </w:rPr>
        <w:t>Counsel;</w:t>
      </w:r>
      <w:proofErr w:type="gramEnd"/>
      <w:r w:rsidRPr="00241EE9">
        <w:rPr>
          <w:rFonts w:eastAsia="Times New Roman" w:cstheme="minorHAnsi"/>
          <w:color w:val="000000"/>
          <w:kern w:val="0"/>
          <w14:ligatures w14:val="none"/>
        </w:rPr>
        <w:t> </w:t>
      </w:r>
    </w:p>
    <w:p w14:paraId="44D76D1D" w14:textId="77777777" w:rsidR="00FB49D7" w:rsidRPr="00241EE9" w:rsidRDefault="00F83B85" w:rsidP="00532DA8">
      <w:pPr>
        <w:numPr>
          <w:ilvl w:val="1"/>
          <w:numId w:val="10"/>
        </w:numPr>
        <w:rPr>
          <w:rFonts w:cstheme="minorHAnsi"/>
        </w:rPr>
      </w:pPr>
      <w:r w:rsidRPr="00241EE9">
        <w:rPr>
          <w:rFonts w:eastAsia="Times New Roman" w:cstheme="minorHAnsi"/>
          <w:color w:val="000000"/>
          <w:kern w:val="0"/>
          <w14:ligatures w14:val="none"/>
        </w:rPr>
        <w:t xml:space="preserve">For faculty positions, the Office of the Executive Vice President and Provost and the Office of the General Counsel; and </w:t>
      </w:r>
      <w:proofErr w:type="gramStart"/>
      <w:r w:rsidRPr="00241EE9">
        <w:rPr>
          <w:rFonts w:eastAsia="Times New Roman" w:cstheme="minorHAnsi"/>
          <w:color w:val="000000"/>
          <w:kern w:val="0"/>
          <w14:ligatures w14:val="none"/>
        </w:rPr>
        <w:t>also</w:t>
      </w:r>
      <w:proofErr w:type="gramEnd"/>
      <w:r w:rsidRPr="00241EE9">
        <w:rPr>
          <w:rFonts w:eastAsia="Times New Roman" w:cstheme="minorHAnsi"/>
          <w:color w:val="000000"/>
          <w:kern w:val="0"/>
          <w14:ligatures w14:val="none"/>
        </w:rPr>
        <w:t xml:space="preserve"> may consult the associate dean for faculty for the college.</w:t>
      </w:r>
    </w:p>
    <w:p w14:paraId="68BB7573" w14:textId="0989B18B" w:rsidR="00F83B85" w:rsidRPr="00241EE9" w:rsidRDefault="00FB49D7" w:rsidP="00FB49D7">
      <w:pPr>
        <w:rPr>
          <w:rFonts w:cstheme="minorHAnsi"/>
        </w:rPr>
      </w:pPr>
      <w:r w:rsidRPr="00241EE9">
        <w:rPr>
          <w:rFonts w:cstheme="minorHAnsi"/>
        </w:rPr>
        <w:t>Written determinations of suitability must be conducted at a minimum of every five years</w:t>
      </w:r>
      <w:r w:rsidR="00C93283" w:rsidRPr="00241EE9">
        <w:rPr>
          <w:rFonts w:cstheme="minorHAnsi"/>
        </w:rPr>
        <w:t xml:space="preserve"> during the term of the grant</w:t>
      </w:r>
      <w:r w:rsidRPr="00241EE9">
        <w:rPr>
          <w:rFonts w:cstheme="minorHAnsi"/>
        </w:rPr>
        <w:t xml:space="preserve">, or sooner upon learning of information that may reasonably suggest </w:t>
      </w:r>
      <w:proofErr w:type="gramStart"/>
      <w:r w:rsidRPr="00241EE9">
        <w:rPr>
          <w:rFonts w:cstheme="minorHAnsi"/>
        </w:rPr>
        <w:t>unsuitability</w:t>
      </w:r>
      <w:r w:rsidR="000E53F0" w:rsidRPr="00241EE9">
        <w:rPr>
          <w:rFonts w:cstheme="minorHAnsi"/>
        </w:rPr>
        <w:t xml:space="preserve"> </w:t>
      </w:r>
      <w:r w:rsidR="000E53F0" w:rsidRPr="00241EE9">
        <w:rPr>
          <w:rFonts w:cstheme="minorHAnsi"/>
          <w:color w:val="000000"/>
        </w:rPr>
        <w:t xml:space="preserve"> (</w:t>
      </w:r>
      <w:proofErr w:type="gramEnd"/>
      <w:r w:rsidR="000E53F0" w:rsidRPr="00241EE9">
        <w:rPr>
          <w:rFonts w:cstheme="minorHAnsi"/>
          <w:color w:val="000000"/>
        </w:rPr>
        <w:t>e.g., no recent check was performed, a workplace incident has occurred, upon self-disclosure of criminal activity, or upon the university being informed of such activity).</w:t>
      </w:r>
    </w:p>
    <w:p w14:paraId="0BCFDFAA" w14:textId="35FB2CB5" w:rsidR="00967617" w:rsidRPr="00241EE9" w:rsidRDefault="00967617" w:rsidP="007222E5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41EE9">
        <w:rPr>
          <w:rFonts w:cstheme="minorHAnsi"/>
          <w:b/>
          <w:bCs/>
        </w:rPr>
        <w:t xml:space="preserve">Record Keeping </w:t>
      </w:r>
    </w:p>
    <w:p w14:paraId="403FBB1F" w14:textId="1B1CEB1C" w:rsidR="00967617" w:rsidRPr="00241EE9" w:rsidRDefault="00967617" w:rsidP="00C11231">
      <w:pPr>
        <w:rPr>
          <w:rFonts w:cstheme="minorHAnsi"/>
        </w:rPr>
      </w:pPr>
      <w:r w:rsidRPr="00241EE9">
        <w:rPr>
          <w:rFonts w:cstheme="minorHAnsi"/>
        </w:rPr>
        <w:lastRenderedPageBreak/>
        <w:t xml:space="preserve">All </w:t>
      </w:r>
      <w:r w:rsidR="00C11231" w:rsidRPr="00241EE9">
        <w:rPr>
          <w:rFonts w:cstheme="minorHAnsi"/>
        </w:rPr>
        <w:t xml:space="preserve">suitability </w:t>
      </w:r>
      <w:r w:rsidRPr="00241EE9">
        <w:rPr>
          <w:rFonts w:cstheme="minorHAnsi"/>
        </w:rPr>
        <w:t xml:space="preserve">search </w:t>
      </w:r>
      <w:proofErr w:type="gramStart"/>
      <w:r w:rsidRPr="00241EE9">
        <w:rPr>
          <w:rFonts w:cstheme="minorHAnsi"/>
        </w:rPr>
        <w:t>files</w:t>
      </w:r>
      <w:proofErr w:type="gramEnd"/>
      <w:r w:rsidR="00C11231" w:rsidRPr="00241EE9">
        <w:rPr>
          <w:rFonts w:cstheme="minorHAnsi"/>
        </w:rPr>
        <w:t xml:space="preserve"> and written determinations of suitability</w:t>
      </w:r>
      <w:r w:rsidRPr="00241EE9">
        <w:rPr>
          <w:rFonts w:cstheme="minorHAnsi"/>
        </w:rPr>
        <w:t xml:space="preserve"> will be maintained by the Senior HR Director.  </w:t>
      </w:r>
    </w:p>
    <w:p w14:paraId="67FA7691" w14:textId="77777777" w:rsidR="00967617" w:rsidRPr="00241EE9" w:rsidRDefault="00967617" w:rsidP="00A756A0">
      <w:pPr>
        <w:pStyle w:val="ListParagraph"/>
        <w:numPr>
          <w:ilvl w:val="0"/>
          <w:numId w:val="4"/>
        </w:numPr>
        <w:rPr>
          <w:rFonts w:cstheme="minorHAnsi"/>
        </w:rPr>
      </w:pPr>
      <w:r w:rsidRPr="00241EE9">
        <w:rPr>
          <w:rFonts w:cstheme="minorHAnsi"/>
        </w:rPr>
        <w:t>Employee search results will be maintained as part of the individual’s human resources personnel file.</w:t>
      </w:r>
    </w:p>
    <w:p w14:paraId="0EA37E82" w14:textId="77777777" w:rsidR="00967617" w:rsidRPr="00241EE9" w:rsidRDefault="00967617" w:rsidP="00A756A0">
      <w:pPr>
        <w:pStyle w:val="ListParagraph"/>
        <w:numPr>
          <w:ilvl w:val="0"/>
          <w:numId w:val="4"/>
        </w:numPr>
        <w:rPr>
          <w:rFonts w:cstheme="minorHAnsi"/>
        </w:rPr>
      </w:pPr>
      <w:r w:rsidRPr="00241EE9">
        <w:rPr>
          <w:rFonts w:cstheme="minorHAnsi"/>
        </w:rPr>
        <w:t xml:space="preserve">Volunteer search results will be maintained in a separate file maintained by the Senior HR Director.  </w:t>
      </w:r>
    </w:p>
    <w:p w14:paraId="778A5056" w14:textId="0A297BCA" w:rsidR="001F1A0E" w:rsidRPr="00241EE9" w:rsidRDefault="00E94E1A" w:rsidP="005A3153">
      <w:pPr>
        <w:rPr>
          <w:rFonts w:cstheme="minorHAnsi"/>
        </w:rPr>
      </w:pPr>
      <w:r w:rsidRPr="00241EE9">
        <w:rPr>
          <w:rFonts w:cstheme="minorHAnsi"/>
        </w:rPr>
        <w:t>The General Counsel, Executive Vice President and Provost, Chief Human Resources Officer, or</w:t>
      </w:r>
      <w:r w:rsidR="005A3153" w:rsidRPr="00241EE9">
        <w:rPr>
          <w:rFonts w:cstheme="minorHAnsi"/>
        </w:rPr>
        <w:t xml:space="preserve"> </w:t>
      </w:r>
      <w:r w:rsidRPr="00241EE9">
        <w:rPr>
          <w:rFonts w:cstheme="minorHAnsi"/>
        </w:rPr>
        <w:t xml:space="preserve">designee(s) shall determine whether a request for access to </w:t>
      </w:r>
      <w:r w:rsidR="00C11231" w:rsidRPr="00241EE9">
        <w:rPr>
          <w:rFonts w:cstheme="minorHAnsi"/>
        </w:rPr>
        <w:t>suitability</w:t>
      </w:r>
      <w:r w:rsidRPr="00241EE9">
        <w:rPr>
          <w:rFonts w:cstheme="minorHAnsi"/>
        </w:rPr>
        <w:t xml:space="preserve"> records shall be granted.</w:t>
      </w:r>
    </w:p>
    <w:sectPr w:rsidR="001F1A0E" w:rsidRPr="00241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6843" w14:textId="77777777" w:rsidR="00F02494" w:rsidRDefault="00F02494" w:rsidP="00492306">
      <w:pPr>
        <w:spacing w:after="0" w:line="240" w:lineRule="auto"/>
      </w:pPr>
      <w:r>
        <w:separator/>
      </w:r>
    </w:p>
  </w:endnote>
  <w:endnote w:type="continuationSeparator" w:id="0">
    <w:p w14:paraId="6BD6653F" w14:textId="77777777" w:rsidR="00F02494" w:rsidRDefault="00F02494" w:rsidP="0049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80E4" w14:textId="77777777" w:rsidR="00492306" w:rsidRDefault="0049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279B" w14:textId="77777777" w:rsidR="00492306" w:rsidRDefault="004923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B29F" w14:textId="77777777" w:rsidR="00492306" w:rsidRDefault="00492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4574" w14:textId="77777777" w:rsidR="00F02494" w:rsidRDefault="00F02494" w:rsidP="00492306">
      <w:pPr>
        <w:spacing w:after="0" w:line="240" w:lineRule="auto"/>
      </w:pPr>
      <w:r>
        <w:separator/>
      </w:r>
    </w:p>
  </w:footnote>
  <w:footnote w:type="continuationSeparator" w:id="0">
    <w:p w14:paraId="698B7691" w14:textId="77777777" w:rsidR="00F02494" w:rsidRDefault="00F02494" w:rsidP="0049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3655" w14:textId="77777777" w:rsidR="00492306" w:rsidRDefault="0049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628E" w14:textId="76551D2C" w:rsidR="00492306" w:rsidRDefault="004923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081B" w14:textId="77777777" w:rsidR="00492306" w:rsidRDefault="00492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68" w:hanging="289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o"/>
      <w:lvlJc w:val="left"/>
      <w:pPr>
        <w:ind w:left="1188" w:hanging="360"/>
      </w:pPr>
      <w:rPr>
        <w:rFonts w:ascii="Courier New" w:hAnsi="Courier New" w:cs="Courier New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530" w:hanging="360"/>
      </w:pPr>
    </w:lvl>
    <w:lvl w:ilvl="3">
      <w:numFmt w:val="bullet"/>
      <w:lvlText w:val="•"/>
      <w:lvlJc w:val="left"/>
      <w:pPr>
        <w:ind w:left="1880" w:hanging="360"/>
      </w:pPr>
    </w:lvl>
    <w:lvl w:ilvl="4">
      <w:numFmt w:val="bullet"/>
      <w:lvlText w:val="•"/>
      <w:lvlJc w:val="left"/>
      <w:pPr>
        <w:ind w:left="2230" w:hanging="360"/>
      </w:pPr>
    </w:lvl>
    <w:lvl w:ilvl="5">
      <w:numFmt w:val="bullet"/>
      <w:lvlText w:val="•"/>
      <w:lvlJc w:val="left"/>
      <w:pPr>
        <w:ind w:left="2580" w:hanging="360"/>
      </w:pPr>
    </w:lvl>
    <w:lvl w:ilvl="6">
      <w:numFmt w:val="bullet"/>
      <w:lvlText w:val="•"/>
      <w:lvlJc w:val="left"/>
      <w:pPr>
        <w:ind w:left="2930" w:hanging="360"/>
      </w:pPr>
    </w:lvl>
    <w:lvl w:ilvl="7">
      <w:numFmt w:val="bullet"/>
      <w:lvlText w:val="•"/>
      <w:lvlJc w:val="left"/>
      <w:pPr>
        <w:ind w:left="3280" w:hanging="360"/>
      </w:pPr>
    </w:lvl>
    <w:lvl w:ilvl="8">
      <w:numFmt w:val="bullet"/>
      <w:lvlText w:val="•"/>
      <w:lvlJc w:val="left"/>
      <w:pPr>
        <w:ind w:left="3630" w:hanging="360"/>
      </w:pPr>
    </w:lvl>
  </w:abstractNum>
  <w:abstractNum w:abstractNumId="1" w15:restartNumberingAfterBreak="0">
    <w:nsid w:val="0627358E"/>
    <w:multiLevelType w:val="hybridMultilevel"/>
    <w:tmpl w:val="1D327660"/>
    <w:lvl w:ilvl="0" w:tplc="97680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64"/>
    <w:multiLevelType w:val="hybridMultilevel"/>
    <w:tmpl w:val="62C2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138F"/>
    <w:multiLevelType w:val="multilevel"/>
    <w:tmpl w:val="CD88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221FD"/>
    <w:multiLevelType w:val="hybridMultilevel"/>
    <w:tmpl w:val="AB881B18"/>
    <w:lvl w:ilvl="0" w:tplc="23F6DF2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5A6D"/>
    <w:multiLevelType w:val="hybridMultilevel"/>
    <w:tmpl w:val="C33C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F60C2F"/>
    <w:multiLevelType w:val="hybridMultilevel"/>
    <w:tmpl w:val="2E549B64"/>
    <w:lvl w:ilvl="0" w:tplc="E8C8ED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27A74"/>
    <w:multiLevelType w:val="hybridMultilevel"/>
    <w:tmpl w:val="F45C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86600"/>
    <w:multiLevelType w:val="hybridMultilevel"/>
    <w:tmpl w:val="C4F22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1B3EF6"/>
    <w:multiLevelType w:val="hybridMultilevel"/>
    <w:tmpl w:val="3C7A9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03762">
    <w:abstractNumId w:val="7"/>
  </w:num>
  <w:num w:numId="2" w16cid:durableId="507017938">
    <w:abstractNumId w:val="4"/>
  </w:num>
  <w:num w:numId="3" w16cid:durableId="700404139">
    <w:abstractNumId w:val="1"/>
  </w:num>
  <w:num w:numId="4" w16cid:durableId="523910173">
    <w:abstractNumId w:val="9"/>
  </w:num>
  <w:num w:numId="5" w16cid:durableId="1591158503">
    <w:abstractNumId w:val="6"/>
  </w:num>
  <w:num w:numId="6" w16cid:durableId="716393548">
    <w:abstractNumId w:val="8"/>
  </w:num>
  <w:num w:numId="7" w16cid:durableId="1584682037">
    <w:abstractNumId w:val="5"/>
  </w:num>
  <w:num w:numId="8" w16cid:durableId="1379620955">
    <w:abstractNumId w:val="0"/>
  </w:num>
  <w:num w:numId="9" w16cid:durableId="2072653960">
    <w:abstractNumId w:val="2"/>
  </w:num>
  <w:num w:numId="10" w16cid:durableId="249504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BF"/>
    <w:rsid w:val="000142BA"/>
    <w:rsid w:val="00025C61"/>
    <w:rsid w:val="0003374D"/>
    <w:rsid w:val="00036BCF"/>
    <w:rsid w:val="00040910"/>
    <w:rsid w:val="00050E09"/>
    <w:rsid w:val="0005121D"/>
    <w:rsid w:val="00072DEC"/>
    <w:rsid w:val="00083345"/>
    <w:rsid w:val="0009473A"/>
    <w:rsid w:val="00096B2E"/>
    <w:rsid w:val="00096DAE"/>
    <w:rsid w:val="0009736D"/>
    <w:rsid w:val="000A689C"/>
    <w:rsid w:val="000D4674"/>
    <w:rsid w:val="000E53F0"/>
    <w:rsid w:val="0011002F"/>
    <w:rsid w:val="001277BF"/>
    <w:rsid w:val="00130144"/>
    <w:rsid w:val="00131EBF"/>
    <w:rsid w:val="00136FBA"/>
    <w:rsid w:val="00142BF2"/>
    <w:rsid w:val="00151DE8"/>
    <w:rsid w:val="00153CD1"/>
    <w:rsid w:val="001577C2"/>
    <w:rsid w:val="00157DE2"/>
    <w:rsid w:val="00162F0B"/>
    <w:rsid w:val="001B7C5B"/>
    <w:rsid w:val="001E7838"/>
    <w:rsid w:val="001F1A0E"/>
    <w:rsid w:val="0020425E"/>
    <w:rsid w:val="00207F57"/>
    <w:rsid w:val="00215DEE"/>
    <w:rsid w:val="00237F3F"/>
    <w:rsid w:val="00241EE9"/>
    <w:rsid w:val="00252E9D"/>
    <w:rsid w:val="00256053"/>
    <w:rsid w:val="00273629"/>
    <w:rsid w:val="0027744D"/>
    <w:rsid w:val="00277B77"/>
    <w:rsid w:val="002853E4"/>
    <w:rsid w:val="002A3EE6"/>
    <w:rsid w:val="002A5CE8"/>
    <w:rsid w:val="002A7DD7"/>
    <w:rsid w:val="002B421A"/>
    <w:rsid w:val="002C782E"/>
    <w:rsid w:val="002E4ACB"/>
    <w:rsid w:val="002E50A1"/>
    <w:rsid w:val="002E5C2F"/>
    <w:rsid w:val="002E613B"/>
    <w:rsid w:val="00311EDE"/>
    <w:rsid w:val="00324A59"/>
    <w:rsid w:val="00324E60"/>
    <w:rsid w:val="00331317"/>
    <w:rsid w:val="0035062A"/>
    <w:rsid w:val="00351A5F"/>
    <w:rsid w:val="00355224"/>
    <w:rsid w:val="003A15BA"/>
    <w:rsid w:val="003A329D"/>
    <w:rsid w:val="003B69ED"/>
    <w:rsid w:val="003D177F"/>
    <w:rsid w:val="003D2272"/>
    <w:rsid w:val="003D318B"/>
    <w:rsid w:val="004072AE"/>
    <w:rsid w:val="00436846"/>
    <w:rsid w:val="00440703"/>
    <w:rsid w:val="004439D8"/>
    <w:rsid w:val="004461EA"/>
    <w:rsid w:val="0045580A"/>
    <w:rsid w:val="00492306"/>
    <w:rsid w:val="004939E5"/>
    <w:rsid w:val="004A12EE"/>
    <w:rsid w:val="004C6FEF"/>
    <w:rsid w:val="004E4918"/>
    <w:rsid w:val="004E60BF"/>
    <w:rsid w:val="004F650A"/>
    <w:rsid w:val="00534402"/>
    <w:rsid w:val="00536B45"/>
    <w:rsid w:val="005420F2"/>
    <w:rsid w:val="00550803"/>
    <w:rsid w:val="00561663"/>
    <w:rsid w:val="00564D65"/>
    <w:rsid w:val="00590F0A"/>
    <w:rsid w:val="005952C3"/>
    <w:rsid w:val="005A2325"/>
    <w:rsid w:val="005A2D0C"/>
    <w:rsid w:val="005A3153"/>
    <w:rsid w:val="005C641A"/>
    <w:rsid w:val="005D4393"/>
    <w:rsid w:val="005D5CBA"/>
    <w:rsid w:val="005E6171"/>
    <w:rsid w:val="00604DEC"/>
    <w:rsid w:val="006071D1"/>
    <w:rsid w:val="00627966"/>
    <w:rsid w:val="006333A9"/>
    <w:rsid w:val="00655E50"/>
    <w:rsid w:val="00663CBB"/>
    <w:rsid w:val="00672229"/>
    <w:rsid w:val="00677DE2"/>
    <w:rsid w:val="00682573"/>
    <w:rsid w:val="00684747"/>
    <w:rsid w:val="00692EE8"/>
    <w:rsid w:val="006937D2"/>
    <w:rsid w:val="006A0C12"/>
    <w:rsid w:val="006A248A"/>
    <w:rsid w:val="006D47E7"/>
    <w:rsid w:val="006E7878"/>
    <w:rsid w:val="00706055"/>
    <w:rsid w:val="00711E7D"/>
    <w:rsid w:val="007222E5"/>
    <w:rsid w:val="00727ABA"/>
    <w:rsid w:val="00736C6E"/>
    <w:rsid w:val="00746546"/>
    <w:rsid w:val="00754E74"/>
    <w:rsid w:val="0076050C"/>
    <w:rsid w:val="007648D2"/>
    <w:rsid w:val="007748B2"/>
    <w:rsid w:val="00787922"/>
    <w:rsid w:val="007B0F7C"/>
    <w:rsid w:val="007B3E1D"/>
    <w:rsid w:val="007B4E15"/>
    <w:rsid w:val="007D1109"/>
    <w:rsid w:val="007D1950"/>
    <w:rsid w:val="007D46C4"/>
    <w:rsid w:val="007D4BC6"/>
    <w:rsid w:val="007F3C81"/>
    <w:rsid w:val="007F48D2"/>
    <w:rsid w:val="0080044F"/>
    <w:rsid w:val="00822272"/>
    <w:rsid w:val="008305C2"/>
    <w:rsid w:val="00850E58"/>
    <w:rsid w:val="008777E0"/>
    <w:rsid w:val="008879AE"/>
    <w:rsid w:val="008A4AB5"/>
    <w:rsid w:val="008D0F7E"/>
    <w:rsid w:val="008E1C7B"/>
    <w:rsid w:val="008F4AAF"/>
    <w:rsid w:val="009026DA"/>
    <w:rsid w:val="009144ED"/>
    <w:rsid w:val="00914798"/>
    <w:rsid w:val="00930578"/>
    <w:rsid w:val="009309C9"/>
    <w:rsid w:val="00930D6A"/>
    <w:rsid w:val="00932397"/>
    <w:rsid w:val="00967617"/>
    <w:rsid w:val="00970C9C"/>
    <w:rsid w:val="009734C2"/>
    <w:rsid w:val="0097386D"/>
    <w:rsid w:val="00981A6B"/>
    <w:rsid w:val="00986BB3"/>
    <w:rsid w:val="00993F8F"/>
    <w:rsid w:val="009B11D3"/>
    <w:rsid w:val="009B3F03"/>
    <w:rsid w:val="009B7C87"/>
    <w:rsid w:val="009F783A"/>
    <w:rsid w:val="00A01F21"/>
    <w:rsid w:val="00A04D2A"/>
    <w:rsid w:val="00A102CB"/>
    <w:rsid w:val="00A25E38"/>
    <w:rsid w:val="00A32A8E"/>
    <w:rsid w:val="00A3444E"/>
    <w:rsid w:val="00A351AB"/>
    <w:rsid w:val="00A756A0"/>
    <w:rsid w:val="00A923F9"/>
    <w:rsid w:val="00AA746A"/>
    <w:rsid w:val="00AC46DF"/>
    <w:rsid w:val="00AD3B2E"/>
    <w:rsid w:val="00AE2898"/>
    <w:rsid w:val="00AE6BAC"/>
    <w:rsid w:val="00AF540E"/>
    <w:rsid w:val="00B31C97"/>
    <w:rsid w:val="00B360B6"/>
    <w:rsid w:val="00B54DE1"/>
    <w:rsid w:val="00B60018"/>
    <w:rsid w:val="00B71247"/>
    <w:rsid w:val="00B747CD"/>
    <w:rsid w:val="00B82725"/>
    <w:rsid w:val="00B83460"/>
    <w:rsid w:val="00BB79A1"/>
    <w:rsid w:val="00BC0411"/>
    <w:rsid w:val="00BC1110"/>
    <w:rsid w:val="00BE03C5"/>
    <w:rsid w:val="00BE42C4"/>
    <w:rsid w:val="00BE56EB"/>
    <w:rsid w:val="00BF6E15"/>
    <w:rsid w:val="00C11231"/>
    <w:rsid w:val="00C11F38"/>
    <w:rsid w:val="00C208A1"/>
    <w:rsid w:val="00C22AB7"/>
    <w:rsid w:val="00C4101E"/>
    <w:rsid w:val="00C84842"/>
    <w:rsid w:val="00C87275"/>
    <w:rsid w:val="00C93283"/>
    <w:rsid w:val="00CA4538"/>
    <w:rsid w:val="00CB6D29"/>
    <w:rsid w:val="00CC3DFC"/>
    <w:rsid w:val="00CF5D98"/>
    <w:rsid w:val="00D35298"/>
    <w:rsid w:val="00D45908"/>
    <w:rsid w:val="00D4745E"/>
    <w:rsid w:val="00D54034"/>
    <w:rsid w:val="00D71193"/>
    <w:rsid w:val="00D77DB4"/>
    <w:rsid w:val="00D826F7"/>
    <w:rsid w:val="00D96964"/>
    <w:rsid w:val="00DD0CCB"/>
    <w:rsid w:val="00DD23C0"/>
    <w:rsid w:val="00DD4BB4"/>
    <w:rsid w:val="00DF6540"/>
    <w:rsid w:val="00E11F2C"/>
    <w:rsid w:val="00E2448E"/>
    <w:rsid w:val="00E347E7"/>
    <w:rsid w:val="00E35DB4"/>
    <w:rsid w:val="00E52729"/>
    <w:rsid w:val="00E53EDC"/>
    <w:rsid w:val="00E7107D"/>
    <w:rsid w:val="00E73D54"/>
    <w:rsid w:val="00E74C6E"/>
    <w:rsid w:val="00E83432"/>
    <w:rsid w:val="00E84399"/>
    <w:rsid w:val="00E94E1A"/>
    <w:rsid w:val="00E9501B"/>
    <w:rsid w:val="00EA1440"/>
    <w:rsid w:val="00EE43A7"/>
    <w:rsid w:val="00F02494"/>
    <w:rsid w:val="00F11B15"/>
    <w:rsid w:val="00F12F22"/>
    <w:rsid w:val="00F1480F"/>
    <w:rsid w:val="00F25BFF"/>
    <w:rsid w:val="00F315AC"/>
    <w:rsid w:val="00F36C69"/>
    <w:rsid w:val="00F61852"/>
    <w:rsid w:val="00F65419"/>
    <w:rsid w:val="00F7149E"/>
    <w:rsid w:val="00F76984"/>
    <w:rsid w:val="00F83B85"/>
    <w:rsid w:val="00F95A07"/>
    <w:rsid w:val="00F96464"/>
    <w:rsid w:val="00FA1AA4"/>
    <w:rsid w:val="00FA4EA5"/>
    <w:rsid w:val="00FB49D7"/>
    <w:rsid w:val="00FB726F"/>
    <w:rsid w:val="00FC35B0"/>
    <w:rsid w:val="00FD0799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CDB14"/>
  <w15:chartTrackingRefBased/>
  <w15:docId w15:val="{98D1833A-927B-4237-99E2-3A74DB89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8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1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1A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306"/>
  </w:style>
  <w:style w:type="paragraph" w:styleId="Footer">
    <w:name w:val="footer"/>
    <w:basedOn w:val="Normal"/>
    <w:link w:val="FooterChar"/>
    <w:uiPriority w:val="99"/>
    <w:unhideWhenUsed/>
    <w:rsid w:val="00492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306"/>
  </w:style>
  <w:style w:type="paragraph" w:styleId="Revision">
    <w:name w:val="Revision"/>
    <w:hidden/>
    <w:uiPriority w:val="99"/>
    <w:semiHidden/>
    <w:rsid w:val="009F783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23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1F42-FCC3-4D8F-8BEB-E74ED95E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Feltes, Erin</dc:creator>
  <cp:keywords/>
  <dc:description/>
  <cp:lastModifiedBy>Tallman, Danielle I</cp:lastModifiedBy>
  <cp:revision>2</cp:revision>
  <cp:lastPrinted>2023-09-20T20:35:00Z</cp:lastPrinted>
  <dcterms:created xsi:type="dcterms:W3CDTF">2023-10-03T13:50:00Z</dcterms:created>
  <dcterms:modified xsi:type="dcterms:W3CDTF">2023-10-03T13:50:00Z</dcterms:modified>
</cp:coreProperties>
</file>